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29. Paragonimus westermani és Fasciola hepatica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F. hepatica, (F. gigantica), Fasciolopsis buski: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Trematoda</w:t>
      </w:r>
      <w:r w:rsidDel="00000000" w:rsidR="00000000" w:rsidRPr="00000000">
        <w:rPr>
          <w:rtl w:val="0"/>
        </w:rPr>
        <w:t xml:space="preserve">, májmétely és bélmétely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Lapos, levél alakú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Hermafrodita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20-30 mm hosszú, fejlett feji és hasi szívóka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Petéi 70*140 μm, fedelesek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Széklettel ürített petékből vízben csillós lárva keletkezik (</w:t>
      </w:r>
      <w:r w:rsidDel="00000000" w:rsidR="00000000" w:rsidRPr="00000000">
        <w:rPr>
          <w:b w:val="1"/>
          <w:rtl w:val="0"/>
        </w:rPr>
        <w:t xml:space="preserve">miracidium</w:t>
      </w:r>
      <w:r w:rsidDel="00000000" w:rsidR="00000000" w:rsidRPr="00000000">
        <w:rPr>
          <w:rtl w:val="0"/>
        </w:rPr>
        <w:t xml:space="preserve">), köztigazda vízicsigába kerül, lárvává alakul (</w:t>
      </w:r>
      <w:r w:rsidDel="00000000" w:rsidR="00000000" w:rsidRPr="00000000">
        <w:rPr>
          <w:b w:val="1"/>
          <w:rtl w:val="0"/>
        </w:rPr>
        <w:t xml:space="preserve">cercaria</w:t>
      </w:r>
      <w:r w:rsidDel="00000000" w:rsidR="00000000" w:rsidRPr="00000000">
        <w:rPr>
          <w:rtl w:val="0"/>
        </w:rPr>
        <w:t xml:space="preserve">), vízi növényen, füvön encisztálódik, </w:t>
      </w:r>
      <w:r w:rsidDel="00000000" w:rsidR="00000000" w:rsidRPr="00000000">
        <w:rPr>
          <w:i w:val="1"/>
          <w:rtl w:val="0"/>
        </w:rPr>
        <w:t xml:space="preserve">növényevő állatokba </w:t>
      </w:r>
      <w:r w:rsidDel="00000000" w:rsidR="00000000" w:rsidRPr="00000000">
        <w:rPr>
          <w:rtl w:val="0"/>
        </w:rPr>
        <w:t xml:space="preserve">jut. véletlenül emberbe, excisztálódó </w:t>
      </w:r>
      <w:r w:rsidDel="00000000" w:rsidR="00000000" w:rsidRPr="00000000">
        <w:rPr>
          <w:b w:val="1"/>
          <w:rtl w:val="0"/>
        </w:rPr>
        <w:t xml:space="preserve">metacercariák</w:t>
      </w:r>
      <w:r w:rsidDel="00000000" w:rsidR="00000000" w:rsidRPr="00000000">
        <w:rPr>
          <w:rtl w:val="0"/>
        </w:rPr>
        <w:t xml:space="preserve"> a bélfalon át a májba jutnak, epevezetékbe ürítik a petéiket.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F. buski a vékonybélben marad, </w:t>
      </w:r>
      <w:r w:rsidDel="00000000" w:rsidR="00000000" w:rsidRPr="00000000">
        <w:rPr>
          <w:i w:val="1"/>
          <w:rtl w:val="0"/>
        </w:rPr>
        <w:t xml:space="preserve">köztigazdái a sertés, kutya, nyúl.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májmétely: </w:t>
      </w:r>
      <w:r w:rsidDel="00000000" w:rsidR="00000000" w:rsidRPr="00000000">
        <w:rPr>
          <w:i w:val="1"/>
          <w:rtl w:val="0"/>
        </w:rPr>
        <w:t xml:space="preserve">májtáji fájdalom, láz, hepatomegália, májnecrosis, obstrukciós icterus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bélmétely: </w:t>
      </w:r>
      <w:r w:rsidDel="00000000" w:rsidR="00000000" w:rsidRPr="00000000">
        <w:rPr>
          <w:i w:val="1"/>
          <w:rtl w:val="0"/>
        </w:rPr>
        <w:t xml:space="preserve">hasmenés, fájdalom, fekélyek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 kimutatása székletből, epéből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praziquantel</w:t>
      </w:r>
      <w:r w:rsidDel="00000000" w:rsidR="00000000" w:rsidRPr="00000000">
        <w:rPr>
          <w:rtl w:val="0"/>
        </w:rPr>
        <w:t xml:space="preserve"> (F. buski), </w:t>
      </w:r>
      <w:r w:rsidDel="00000000" w:rsidR="00000000" w:rsidRPr="00000000">
        <w:rPr>
          <w:b w:val="1"/>
          <w:rtl w:val="0"/>
        </w:rPr>
        <w:t xml:space="preserve">bithionol és triclabendazol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Paragonimus westermani: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1. Morfológia: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Trematoda</w:t>
      </w:r>
      <w:r w:rsidDel="00000000" w:rsidR="00000000" w:rsidRPr="00000000">
        <w:rPr>
          <w:rtl w:val="0"/>
        </w:rPr>
        <w:t xml:space="preserve">, tüdőmétely (paragonimiasis)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1*0,5 cm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petéje fedeles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2. Patogenezis és klinikai kép: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Két köztigazda - bronchiolusokban élő féreg petét ürít, ez a köpettel ürül (esetleg lenyelve széklettel). A vízbe jutott petékből </w:t>
      </w:r>
      <w:r w:rsidDel="00000000" w:rsidR="00000000" w:rsidRPr="00000000">
        <w:rPr>
          <w:b w:val="1"/>
          <w:rtl w:val="0"/>
        </w:rPr>
        <w:t xml:space="preserve">miracidumok</w:t>
      </w:r>
      <w:r w:rsidDel="00000000" w:rsidR="00000000" w:rsidRPr="00000000">
        <w:rPr>
          <w:rtl w:val="0"/>
        </w:rPr>
        <w:t xml:space="preserve"> szabadulnak ki, csigába jutnak (</w:t>
      </w:r>
      <w:r w:rsidDel="00000000" w:rsidR="00000000" w:rsidRPr="00000000">
        <w:rPr>
          <w:b w:val="1"/>
          <w:rtl w:val="0"/>
        </w:rPr>
        <w:t xml:space="preserve">elsődleges köztigazda</w:t>
      </w:r>
      <w:r w:rsidDel="00000000" w:rsidR="00000000" w:rsidRPr="00000000">
        <w:rPr>
          <w:rtl w:val="0"/>
        </w:rPr>
        <w:t xml:space="preserve">), itt </w:t>
      </w:r>
      <w:r w:rsidDel="00000000" w:rsidR="00000000" w:rsidRPr="00000000">
        <w:rPr>
          <w:b w:val="1"/>
          <w:rtl w:val="0"/>
        </w:rPr>
        <w:t xml:space="preserve">sporocystát, cercariát</w:t>
      </w:r>
      <w:r w:rsidDel="00000000" w:rsidR="00000000" w:rsidRPr="00000000">
        <w:rPr>
          <w:rtl w:val="0"/>
        </w:rPr>
        <w:t xml:space="preserve"> képeznek. A cercaria elhagyja a csigát, rákokban </w:t>
      </w:r>
      <w:r w:rsidDel="00000000" w:rsidR="00000000" w:rsidRPr="00000000">
        <w:rPr>
          <w:b w:val="1"/>
          <w:rtl w:val="0"/>
        </w:rPr>
        <w:t xml:space="preserve">(másodlagos köztigazda)</w:t>
      </w:r>
      <w:r w:rsidDel="00000000" w:rsidR="00000000" w:rsidRPr="00000000">
        <w:rPr>
          <w:rtl w:val="0"/>
        </w:rPr>
        <w:t xml:space="preserve"> encisztálódik, a </w:t>
      </w:r>
      <w:r w:rsidDel="00000000" w:rsidR="00000000" w:rsidRPr="00000000">
        <w:rPr>
          <w:b w:val="1"/>
          <w:rtl w:val="0"/>
        </w:rPr>
        <w:t xml:space="preserve">metacercariák</w:t>
      </w:r>
      <w:r w:rsidDel="00000000" w:rsidR="00000000" w:rsidRPr="00000000">
        <w:rPr>
          <w:rtl w:val="0"/>
        </w:rPr>
        <w:t xml:space="preserve"> a rákhússal jutnak az emberbe - a duodenumban excisztálódnak, a rekeszen átfúrva magukat a </w:t>
      </w:r>
      <w:r w:rsidDel="00000000" w:rsidR="00000000" w:rsidRPr="00000000">
        <w:rPr>
          <w:b w:val="1"/>
          <w:rtl w:val="0"/>
        </w:rPr>
        <w:t xml:space="preserve">tüdőbe</w:t>
      </w:r>
      <w:r w:rsidDel="00000000" w:rsidR="00000000" w:rsidRPr="00000000">
        <w:rPr>
          <w:rtl w:val="0"/>
        </w:rPr>
        <w:t xml:space="preserve"> jutnak, itt betokozódnak - vagy továbbvándorolnak harántcsíkolt izomba, agyba.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Tünettan: </w:t>
      </w:r>
      <w:r w:rsidDel="00000000" w:rsidR="00000000" w:rsidRPr="00000000">
        <w:rPr>
          <w:b w:val="1"/>
          <w:rtl w:val="0"/>
        </w:rPr>
        <w:t xml:space="preserve">köhögés, véres köpet, nehézlégzés, oldalfájdalom, fibrosis, neurológiai panaszok </w:t>
      </w:r>
      <w:r w:rsidDel="00000000" w:rsidR="00000000" w:rsidRPr="00000000">
        <w:rPr>
          <w:rtl w:val="0"/>
        </w:rPr>
        <w:t xml:space="preserve">(agyi paragonismus esetén)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3. Diagnosztika és terápia: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petekimutatás köpetből, székletből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bőr túlérzékenységi teszt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praziquantel, bithionol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