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11. Histoplasma capsulatum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Szisztémás mycosis:</w:t>
      </w:r>
      <w:r w:rsidDel="00000000" w:rsidR="00000000" w:rsidRPr="00000000">
        <w:rPr>
          <w:rtl w:val="0"/>
        </w:rPr>
        <w:t xml:space="preserve"> egy vagy több belső szerv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Disszeminált fertőzés:</w:t>
      </w:r>
      <w:r w:rsidDel="00000000" w:rsidR="00000000" w:rsidRPr="00000000">
        <w:rPr>
          <w:rtl w:val="0"/>
        </w:rPr>
        <w:t xml:space="preserve"> több szerv/szervrendszer érintett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i w:val="1"/>
          <w:rtl w:val="0"/>
        </w:rPr>
        <w:t xml:space="preserve">Fungaemia:</w:t>
      </w:r>
      <w:r w:rsidDel="00000000" w:rsidR="00000000" w:rsidRPr="00000000">
        <w:rPr>
          <w:rtl w:val="0"/>
        </w:rPr>
        <w:t xml:space="preserve"> gombaelemek a vérben -  szepszis</w:t>
      </w:r>
    </w:p>
    <w:p w:rsidR="00000000" w:rsidDel="00000000" w:rsidP="00000000" w:rsidRDefault="00000000" w:rsidRPr="00000000">
      <w:pPr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H. capsulatum: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USA, Latin-Amerikában endémiás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Dimorf </w:t>
      </w:r>
      <w:r w:rsidDel="00000000" w:rsidR="00000000" w:rsidRPr="00000000">
        <w:rPr>
          <w:rtl w:val="0"/>
        </w:rPr>
        <w:t xml:space="preserve">gomba, fonalas alakja </w:t>
      </w:r>
      <w:r w:rsidDel="00000000" w:rsidR="00000000" w:rsidRPr="00000000">
        <w:rPr>
          <w:i w:val="1"/>
          <w:rtl w:val="0"/>
        </w:rPr>
        <w:t xml:space="preserve">madarak, denevérek guanójában</w:t>
      </w:r>
      <w:r w:rsidDel="00000000" w:rsidR="00000000" w:rsidRPr="00000000">
        <w:rPr>
          <w:rtl w:val="0"/>
        </w:rPr>
        <w:t xml:space="preserve"> él - foglalkozási expozíció: barlangászok, biológusok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Dudoros </w:t>
      </w:r>
      <w:r w:rsidDel="00000000" w:rsidR="00000000" w:rsidRPr="00000000">
        <w:rPr>
          <w:i w:val="1"/>
          <w:rtl w:val="0"/>
        </w:rPr>
        <w:t xml:space="preserve">microconidiumok, hyphatöredékek belégzésével </w:t>
      </w:r>
      <w:r w:rsidDel="00000000" w:rsidR="00000000" w:rsidRPr="00000000">
        <w:rPr>
          <w:rtl w:val="0"/>
        </w:rPr>
        <w:t xml:space="preserve">fertőz - </w:t>
      </w:r>
      <w:r w:rsidDel="00000000" w:rsidR="00000000" w:rsidRPr="00000000">
        <w:rPr>
          <w:b w:val="1"/>
          <w:rtl w:val="0"/>
        </w:rPr>
        <w:t xml:space="preserve">macrophag fagocitál (fakultatív intracelluláris pathogén)</w:t>
      </w:r>
      <w:r w:rsidDel="00000000" w:rsidR="00000000" w:rsidRPr="00000000">
        <w:rPr>
          <w:rtl w:val="0"/>
        </w:rPr>
        <w:t xml:space="preserve">, benne kialakul a sarjadzó forma - elvándorolnak a nyirokcsomókba - disszemináció lehetéges!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Enyhe lefolyású, apró meszes csomókkal - progresszív, krónikus fertőzés, TBC-szerű cavernákkal (DD!)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Haematogén, lymphogén disszemináció rossz prognózisú (idősek, immunkompromittáltak)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H. duboisii: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Afrikában</w:t>
      </w:r>
      <w:r w:rsidDel="00000000" w:rsidR="00000000" w:rsidRPr="00000000">
        <w:rPr>
          <w:rtl w:val="0"/>
        </w:rPr>
        <w:t xml:space="preserve"> endémiás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Ritkán légúti - </w:t>
      </w:r>
      <w:r w:rsidDel="00000000" w:rsidR="00000000" w:rsidRPr="00000000">
        <w:rPr>
          <w:i w:val="1"/>
          <w:rtl w:val="0"/>
        </w:rPr>
        <w:t xml:space="preserve">krónikus bőr- és csontfertőzések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