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rtl w:val="0"/>
        </w:rPr>
        <w:t xml:space="preserve">16. A protozoonok általános tulajdonságai, taxonómiája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Osztályozás és morfológia: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Eukaryoták</w:t>
      </w:r>
      <w:r w:rsidDel="00000000" w:rsidR="00000000" w:rsidRPr="00000000">
        <w:rPr>
          <w:rtl w:val="0"/>
        </w:rPr>
        <w:t xml:space="preserve"> - mag, magvacska, ekto- és endoplazma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2-100 μm-es mérettartomány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kétféle alak: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vegetatív </w:t>
      </w:r>
      <w:r w:rsidDel="00000000" w:rsidR="00000000" w:rsidRPr="00000000">
        <w:rPr>
          <w:b w:val="1"/>
          <w:rtl w:val="0"/>
        </w:rPr>
        <w:t xml:space="preserve">trophozoita</w:t>
      </w:r>
      <w:r w:rsidDel="00000000" w:rsidR="00000000" w:rsidRPr="00000000">
        <w:rPr>
          <w:rtl w:val="0"/>
        </w:rPr>
        <w:t xml:space="preserve"> - táplálkozik, mozog (speciális organellumokkal: álláb, ostor, csilló), szaporodik, két részre elkülönülő citoplazma, vakuólumokkal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nyugalmi alak: </w:t>
      </w:r>
      <w:r w:rsidDel="00000000" w:rsidR="00000000" w:rsidRPr="00000000">
        <w:rPr>
          <w:b w:val="1"/>
          <w:rtl w:val="0"/>
        </w:rPr>
        <w:t xml:space="preserve">cysta</w:t>
      </w:r>
      <w:r w:rsidDel="00000000" w:rsidR="00000000" w:rsidRPr="00000000">
        <w:rPr>
          <w:rtl w:val="0"/>
        </w:rPr>
        <w:t xml:space="preserve"> - trophozoitából keletkezik az </w:t>
      </w:r>
      <w:r w:rsidDel="00000000" w:rsidR="00000000" w:rsidRPr="00000000">
        <w:rPr>
          <w:i w:val="1"/>
          <w:rtl w:val="0"/>
        </w:rPr>
        <w:t xml:space="preserve">encisztáció</w:t>
      </w:r>
      <w:r w:rsidDel="00000000" w:rsidR="00000000" w:rsidRPr="00000000">
        <w:rPr>
          <w:rtl w:val="0"/>
        </w:rPr>
        <w:t xml:space="preserve"> során - tápanyaghiány, hőmérsékleti- vagy pH változás hatására vastag burok képzése, vízvesztés, tartalék tápanyagok felhalmozása, több mag. Környezeti viszonyok optimalizációja során </w:t>
      </w:r>
      <w:r w:rsidDel="00000000" w:rsidR="00000000" w:rsidRPr="00000000">
        <w:rPr>
          <w:i w:val="1"/>
          <w:rtl w:val="0"/>
        </w:rPr>
        <w:t xml:space="preserve">excisztálódik</w:t>
      </w:r>
      <w:r w:rsidDel="00000000" w:rsidR="00000000" w:rsidRPr="00000000">
        <w:rPr>
          <w:rtl w:val="0"/>
        </w:rPr>
        <w:t xml:space="preserve">, trophozoittá alakul. Ellenálló vizes közegben, a kiszáradást rosszul tűri. Vegyszerekre nagy mértékben rezisztens, </w:t>
      </w:r>
      <w:r w:rsidDel="00000000" w:rsidR="00000000" w:rsidRPr="00000000">
        <w:rPr>
          <w:i w:val="1"/>
          <w:rtl w:val="0"/>
        </w:rPr>
        <w:t xml:space="preserve">szappanos-krezol</w:t>
      </w:r>
      <w:r w:rsidDel="00000000" w:rsidR="00000000" w:rsidRPr="00000000">
        <w:rPr>
          <w:rtl w:val="0"/>
        </w:rPr>
        <w:t xml:space="preserve"> készítményekkel elölhető.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Táplálkozás: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Baktériumok, algák, más protozoonok </w:t>
      </w:r>
      <w:r w:rsidDel="00000000" w:rsidR="00000000" w:rsidRPr="00000000">
        <w:rPr>
          <w:i w:val="1"/>
          <w:rtl w:val="0"/>
        </w:rPr>
        <w:t xml:space="preserve">szilárd formában való bekebelezése</w:t>
      </w:r>
      <w:r w:rsidDel="00000000" w:rsidR="00000000" w:rsidRPr="00000000">
        <w:rPr>
          <w:rtl w:val="0"/>
        </w:rPr>
        <w:t xml:space="preserve"> (esetenként cytostomán keresztül), enzimekkel emésztés - emészthetetlen részek az analis póruson (cytopygen) át távoznak, vagy a vacuola megrepedésével endocitosis-szerűen ürülnek.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Spórások (Sporozoa): </w:t>
      </w:r>
      <w:r w:rsidDel="00000000" w:rsidR="00000000" w:rsidRPr="00000000">
        <w:rPr>
          <w:i w:val="1"/>
          <w:rtl w:val="0"/>
        </w:rPr>
        <w:t xml:space="preserve">exogen emésztés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Szaporodás: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Aszexuális:</w:t>
      </w:r>
      <w:r w:rsidDel="00000000" w:rsidR="00000000" w:rsidRPr="00000000">
        <w:rPr>
          <w:rtl w:val="0"/>
        </w:rPr>
        <w:t xml:space="preserve"> osztódás - többszörös osztódás (</w:t>
      </w:r>
      <w:r w:rsidDel="00000000" w:rsidR="00000000" w:rsidRPr="00000000">
        <w:rPr>
          <w:b w:val="1"/>
          <w:rtl w:val="0"/>
        </w:rPr>
        <w:t xml:space="preserve">schizogonia</w:t>
      </w:r>
      <w:r w:rsidDel="00000000" w:rsidR="00000000" w:rsidRPr="00000000">
        <w:rPr>
          <w:rtl w:val="0"/>
        </w:rPr>
        <w:t xml:space="preserve">): többmagvú sejt - sok egymagvú sejt </w:t>
      </w:r>
      <w:r w:rsidDel="00000000" w:rsidR="00000000" w:rsidRPr="00000000">
        <w:rPr>
          <w:u w:val="single"/>
          <w:rtl w:val="0"/>
        </w:rPr>
        <w:t xml:space="preserve">/közti gazdában/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Szexuális:</w:t>
      </w:r>
      <w:r w:rsidDel="00000000" w:rsidR="00000000" w:rsidRPr="00000000">
        <w:rPr>
          <w:rtl w:val="0"/>
        </w:rPr>
        <w:t xml:space="preserve"> két gameta egyesülésével (</w:t>
      </w:r>
      <w:r w:rsidDel="00000000" w:rsidR="00000000" w:rsidRPr="00000000">
        <w:rPr>
          <w:b w:val="1"/>
          <w:rtl w:val="0"/>
        </w:rPr>
        <w:t xml:space="preserve">syngamia</w:t>
      </w:r>
      <w:r w:rsidDel="00000000" w:rsidR="00000000" w:rsidRPr="00000000">
        <w:rPr>
          <w:rtl w:val="0"/>
        </w:rPr>
        <w:t xml:space="preserve">), zygota keletkezik, amely burokba zárva (</w:t>
      </w:r>
      <w:r w:rsidDel="00000000" w:rsidR="00000000" w:rsidRPr="00000000">
        <w:rPr>
          <w:b w:val="1"/>
          <w:rtl w:val="0"/>
        </w:rPr>
        <w:t xml:space="preserve">oocysta</w:t>
      </w:r>
      <w:r w:rsidDel="00000000" w:rsidR="00000000" w:rsidRPr="00000000">
        <w:rPr>
          <w:rtl w:val="0"/>
        </w:rPr>
        <w:t xml:space="preserve">) kezd osztódni, sporozoitákat hoz létre </w:t>
      </w:r>
      <w:r w:rsidDel="00000000" w:rsidR="00000000" w:rsidRPr="00000000">
        <w:rPr>
          <w:b w:val="1"/>
          <w:rtl w:val="0"/>
        </w:rPr>
        <w:t xml:space="preserve">sporogonia </w:t>
      </w:r>
      <w:r w:rsidDel="00000000" w:rsidR="00000000" w:rsidRPr="00000000">
        <w:rPr>
          <w:rtl w:val="0"/>
        </w:rPr>
        <w:t xml:space="preserve">során. </w:t>
      </w:r>
      <w:r w:rsidDel="00000000" w:rsidR="00000000" w:rsidRPr="00000000">
        <w:rPr>
          <w:u w:val="single"/>
          <w:rtl w:val="0"/>
        </w:rPr>
        <w:t xml:space="preserve">/végső gazdában/</w:t>
      </w:r>
      <w:r w:rsidDel="00000000" w:rsidR="00000000" w:rsidRPr="00000000">
        <w:rPr>
          <w:rtl w:val="0"/>
        </w:rPr>
        <w:t xml:space="preserve"> A gameták lehetnek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azonos méretűek: isogameták,</w:t>
      </w:r>
      <w:r w:rsidDel="00000000" w:rsidR="00000000" w:rsidRPr="00000000">
        <w:rPr>
          <w:b w:val="1"/>
          <w:rtl w:val="0"/>
        </w:rPr>
        <w:t xml:space="preserve"> isagamia </w:t>
      </w:r>
      <w:r w:rsidDel="00000000" w:rsidR="00000000" w:rsidRPr="00000000">
        <w:rPr>
          <w:rtl w:val="0"/>
        </w:rPr>
        <w:t xml:space="preserve">(Ciliata), ideiglenes összeolvadásuk a </w:t>
      </w:r>
      <w:r w:rsidDel="00000000" w:rsidR="00000000" w:rsidRPr="00000000">
        <w:rPr>
          <w:b w:val="1"/>
          <w:rtl w:val="0"/>
        </w:rPr>
        <w:t xml:space="preserve">konjugáció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különböző méretűek: anisogameták, </w:t>
      </w:r>
      <w:r w:rsidDel="00000000" w:rsidR="00000000" w:rsidRPr="00000000">
        <w:rPr>
          <w:b w:val="1"/>
          <w:rtl w:val="0"/>
        </w:rPr>
        <w:t xml:space="preserve">anisogamia</w:t>
      </w:r>
      <w:r w:rsidDel="00000000" w:rsidR="00000000" w:rsidRPr="00000000">
        <w:rPr>
          <w:rtl w:val="0"/>
        </w:rPr>
        <w:t xml:space="preserve"> (Sporozoa) - micro- (ffi) és macrogameták (női)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Taxonómia: </w:t>
      </w:r>
    </w:p>
    <w:p w:rsidR="00000000" w:rsidDel="00000000" w:rsidP="00000000" w:rsidRDefault="00000000" w:rsidRPr="00000000">
      <w:pPr>
        <w:contextualSpacing w:val="0"/>
        <w:jc w:val="both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itt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s://docs.google.com/spreadsheet/ccc?key=0AlaTrmvfSfEqdEFYd1NlRDZGZ0tjUHhQLTlob1dWM0E&amp;usp=sharing" TargetMode="External"/></Relationships>
</file>