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6. A gombás fertőzések kezelése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Eukaryota gombasejtek hasonlóak a humán sejtekhez - kevés eltérő pont, amit a szerek támadni tudnak - főleg az</w:t>
      </w:r>
      <w:r w:rsidDel="00000000" w:rsidR="00000000" w:rsidRPr="00000000">
        <w:rPr>
          <w:b w:val="1"/>
          <w:rtl w:val="0"/>
        </w:rPr>
        <w:t xml:space="preserve"> ergoszterol-szintézis, sejtfal, DNS szintézis, sejtosztódás</w:t>
      </w:r>
      <w:r w:rsidDel="00000000" w:rsidR="00000000" w:rsidRPr="00000000">
        <w:rPr>
          <w:rtl w:val="0"/>
        </w:rPr>
        <w:t xml:space="preserve"> lehet a célpont.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u w:val="single"/>
          <w:rtl w:val="0"/>
        </w:rPr>
        <w:t xml:space="preserve">Azolok:</w:t>
      </w:r>
      <w:r w:rsidDel="00000000" w:rsidR="00000000" w:rsidRPr="00000000">
        <w:rPr>
          <w:rtl w:val="0"/>
        </w:rPr>
        <w:t xml:space="preserve"> citokróm P450 függő </w:t>
      </w:r>
      <w:r w:rsidDel="00000000" w:rsidR="00000000" w:rsidRPr="00000000">
        <w:rPr>
          <w:u w:val="single"/>
          <w:rtl w:val="0"/>
        </w:rPr>
        <w:t xml:space="preserve">lanoszterol-14-alfa-demetiláz gátlás (ergoszterol szintézis)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Imidazolok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ketoconazol, miconazol, clotrimazol (pl. Canesten), econazol </w:t>
      </w:r>
      <w:r w:rsidDel="00000000" w:rsidR="00000000" w:rsidRPr="00000000">
        <w:rPr>
          <w:rtl w:val="0"/>
        </w:rPr>
        <w:t xml:space="preserve">- főként lokális kezelések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Triazolok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fluconazol, voriconazol, itraconazol, pozaconazol</w:t>
      </w:r>
      <w:r w:rsidDel="00000000" w:rsidR="00000000" w:rsidRPr="00000000">
        <w:rPr>
          <w:rtl w:val="0"/>
        </w:rPr>
        <w:t xml:space="preserve"> - nagyobb affinitás a gombasejtekre, biztonságosabbak az imidazoloknál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2"/>
        </w:numPr>
        <w:ind w:left="216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Első generációs triazolok: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Fluconazol: </w:t>
      </w:r>
      <w:r w:rsidDel="00000000" w:rsidR="00000000" w:rsidRPr="00000000">
        <w:rPr>
          <w:rtl w:val="0"/>
        </w:rPr>
        <w:t xml:space="preserve">fungisztatikus, IV-orálisan adható, jó felszívódású, </w:t>
      </w:r>
      <w:r w:rsidDel="00000000" w:rsidR="00000000" w:rsidRPr="00000000">
        <w:rPr>
          <w:i w:val="1"/>
          <w:rtl w:val="0"/>
        </w:rPr>
        <w:t xml:space="preserve">idegrendszerbe penetrál, húgyúti fertőzésekben</w:t>
      </w:r>
      <w:r w:rsidDel="00000000" w:rsidR="00000000" w:rsidRPr="00000000">
        <w:rPr>
          <w:rtl w:val="0"/>
        </w:rPr>
        <w:t xml:space="preserve"> is alkalmazható, vizelettel ürül. Felhasználása: </w:t>
      </w:r>
      <w:r w:rsidDel="00000000" w:rsidR="00000000" w:rsidRPr="00000000">
        <w:rPr>
          <w:i w:val="1"/>
          <w:rtl w:val="0"/>
        </w:rPr>
        <w:t xml:space="preserve">Cryptococcus neoformans, Candia fajok - rezisztens: C. krusei, C. glabrata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Itraconazol: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fungicid dermatophytonokkal, fungisztatikus sarjadzógombákkal, penészekkel szemben,</w:t>
      </w:r>
      <w:r w:rsidDel="00000000" w:rsidR="00000000" w:rsidRPr="00000000">
        <w:rPr>
          <w:rtl w:val="0"/>
        </w:rPr>
        <w:t xml:space="preserve"> IV-orálisan adható, lipofil, májban metabolizálódik és a széklettel ürül - táplálkozás, italfogyasztás befolyásolja a hatását.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2"/>
        </w:numPr>
        <w:ind w:left="216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Második generációs triazolok: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Voriconazol:</w:t>
      </w:r>
      <w:r w:rsidDel="00000000" w:rsidR="00000000" w:rsidRPr="00000000">
        <w:rPr>
          <w:rtl w:val="0"/>
        </w:rPr>
        <w:t xml:space="preserve"> hatékony lehet </w:t>
      </w:r>
      <w:r w:rsidDel="00000000" w:rsidR="00000000" w:rsidRPr="00000000">
        <w:rPr>
          <w:i w:val="1"/>
          <w:rtl w:val="0"/>
        </w:rPr>
        <w:t xml:space="preserve">fluconazol-rezisztens candidák, Aspergillusok, Fusariumok</w:t>
      </w:r>
      <w:r w:rsidDel="00000000" w:rsidR="00000000" w:rsidRPr="00000000">
        <w:rPr>
          <w:rtl w:val="0"/>
        </w:rPr>
        <w:t xml:space="preserve"> ellen.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Pozaconazol:</w:t>
      </w:r>
      <w:r w:rsidDel="00000000" w:rsidR="00000000" w:rsidRPr="00000000">
        <w:rPr>
          <w:rtl w:val="0"/>
        </w:rPr>
        <w:t xml:space="preserve"> legszélesebb aktivitás, </w:t>
      </w:r>
      <w:r w:rsidDel="00000000" w:rsidR="00000000" w:rsidRPr="00000000">
        <w:rPr>
          <w:i w:val="1"/>
          <w:rtl w:val="0"/>
        </w:rPr>
        <w:t xml:space="preserve">járomspórás gombákra is hat, </w:t>
      </w:r>
      <w:r w:rsidDel="00000000" w:rsidR="00000000" w:rsidRPr="00000000">
        <w:rPr>
          <w:i w:val="1"/>
          <w:u w:val="single"/>
          <w:rtl w:val="0"/>
        </w:rPr>
        <w:t xml:space="preserve">hepatotoxikus</w:t>
      </w:r>
      <w:r w:rsidDel="00000000" w:rsidR="00000000" w:rsidRPr="00000000">
        <w:rPr>
          <w:rtl w:val="0"/>
        </w:rPr>
        <w:t xml:space="preserve"> (rifampicinnel egyidejűleg nem lehet adni).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u w:val="single"/>
          <w:rtl w:val="0"/>
        </w:rPr>
        <w:t xml:space="preserve">Allilaminok </w:t>
      </w:r>
      <w:r w:rsidDel="00000000" w:rsidR="00000000" w:rsidRPr="00000000">
        <w:rPr>
          <w:rtl w:val="0"/>
        </w:rPr>
        <w:t xml:space="preserve">- terbinafin, naftifin, amorolfin -</w:t>
      </w:r>
      <w:r w:rsidDel="00000000" w:rsidR="00000000" w:rsidRPr="00000000">
        <w:rPr>
          <w:u w:val="single"/>
          <w:rtl w:val="0"/>
        </w:rPr>
        <w:t xml:space="preserve"> szkvalén-epoxidáz gátlás (ergoszterol szintézis)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Naftifin:</w:t>
      </w:r>
      <w:r w:rsidDel="00000000" w:rsidR="00000000" w:rsidRPr="00000000">
        <w:rPr>
          <w:rtl w:val="0"/>
        </w:rPr>
        <w:t xml:space="preserve"> lokálisan alkalmazható, széles aktivitás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Terbinafin (pl. Terbisil):</w:t>
      </w:r>
      <w:r w:rsidDel="00000000" w:rsidR="00000000" w:rsidRPr="00000000">
        <w:rPr>
          <w:rtl w:val="0"/>
        </w:rPr>
        <w:t xml:space="preserve"> orálisan is adható, dermatomikológiában kedvelt, lipofil, vizelettel és széklettel távozik - </w:t>
      </w:r>
      <w:r w:rsidDel="00000000" w:rsidR="00000000" w:rsidRPr="00000000">
        <w:rPr>
          <w:i w:val="1"/>
          <w:u w:val="single"/>
          <w:rtl w:val="0"/>
        </w:rPr>
        <w:t xml:space="preserve">GI mellékhatások, májenzimek átmeneti emelkedése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Echinocandinok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i w:val="1"/>
          <w:rtl w:val="0"/>
        </w:rPr>
        <w:t xml:space="preserve">caspofungin, mikafungin, anidulafungin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glukan sejtfal ellen (1-3-béta-glucan szintáz gátlás)</w:t>
      </w:r>
      <w:r w:rsidDel="00000000" w:rsidR="00000000" w:rsidRPr="00000000">
        <w:rPr>
          <w:rtl w:val="0"/>
        </w:rPr>
        <w:t xml:space="preserve">, ezért ált. nem toxikusak. Candida, Aspergillus fertőzésekben jók, cyclosporinnal keresztreagálnak, lehetséges mellékhatás: embriotoxicitás, hepatotoxicitás.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b w:val="1"/>
          <w:u w:val="single"/>
          <w:rtl w:val="0"/>
        </w:rPr>
        <w:t xml:space="preserve">Poliének</w:t>
      </w:r>
      <w:r w:rsidDel="00000000" w:rsidR="00000000" w:rsidRPr="00000000">
        <w:rPr>
          <w:rtl w:val="0"/>
        </w:rPr>
        <w:t xml:space="preserve"> - amphotericin B, nystatin (Streptomyces termeli), pimarycin - </w:t>
      </w:r>
      <w:r w:rsidDel="00000000" w:rsidR="00000000" w:rsidRPr="00000000">
        <w:rPr>
          <w:u w:val="single"/>
          <w:rtl w:val="0"/>
        </w:rPr>
        <w:t xml:space="preserve">ergoszterolhoz kötődve kilyukasztják a membránt.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b w:val="1"/>
          <w:rtl w:val="0"/>
        </w:rPr>
        <w:t xml:space="preserve">Nystatin, pimarycin:</w:t>
      </w:r>
      <w:r w:rsidDel="00000000" w:rsidR="00000000" w:rsidRPr="00000000">
        <w:rPr>
          <w:rtl w:val="0"/>
        </w:rPr>
        <w:t xml:space="preserve"> fungisztatikusak, elsősorban </w:t>
      </w:r>
      <w:r w:rsidDel="00000000" w:rsidR="00000000" w:rsidRPr="00000000">
        <w:rPr>
          <w:i w:val="1"/>
          <w:rtl w:val="0"/>
        </w:rPr>
        <w:t xml:space="preserve">sarjadzógombák</w:t>
      </w:r>
      <w:r w:rsidDel="00000000" w:rsidR="00000000" w:rsidRPr="00000000">
        <w:rPr>
          <w:rtl w:val="0"/>
        </w:rPr>
        <w:t xml:space="preserve"> ellen hatásosak, nem szívódnak fel a bélből, széklettel ürülenk - bél- és nyálkahártyafertőzések, inhalálva tüdőinfekciók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vertAlign w:val="baseline"/>
        </w:rPr>
      </w:pPr>
      <w:r w:rsidDel="00000000" w:rsidR="00000000" w:rsidRPr="00000000">
        <w:rPr>
          <w:b w:val="1"/>
          <w:rtl w:val="0"/>
        </w:rPr>
        <w:t xml:space="preserve">Amphotericin B: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Klasszikus: invazív fertőzéseknél használt (sarjadzógomba és penész), de erősen toxikus - </w:t>
      </w:r>
      <w:r w:rsidDel="00000000" w:rsidR="00000000" w:rsidRPr="00000000">
        <w:rPr>
          <w:i w:val="1"/>
          <w:u w:val="single"/>
          <w:rtl w:val="0"/>
        </w:rPr>
        <w:t xml:space="preserve">anaemizál, vesetoxikus, csökkenti a se K-szintet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Amphotericin B dezoxikolát - </w:t>
      </w:r>
      <w:r w:rsidDel="00000000" w:rsidR="00000000" w:rsidRPr="00000000">
        <w:rPr>
          <w:i w:val="1"/>
          <w:u w:val="single"/>
          <w:rtl w:val="0"/>
        </w:rPr>
        <w:t xml:space="preserve">nephrotoxikus</w:t>
      </w:r>
      <w:r w:rsidDel="00000000" w:rsidR="00000000" w:rsidRPr="00000000">
        <w:rPr>
          <w:rtl w:val="0"/>
        </w:rPr>
        <w:t xml:space="preserve">, csak IV adható, mellékhatásként </w:t>
      </w:r>
      <w:r w:rsidDel="00000000" w:rsidR="00000000" w:rsidRPr="00000000">
        <w:rPr>
          <w:i w:val="1"/>
          <w:u w:val="single"/>
          <w:rtl w:val="0"/>
        </w:rPr>
        <w:t xml:space="preserve">thrompophlebitis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Del="00000000" w:rsidR="00000000" w:rsidRPr="00000000">
        <w:rPr>
          <w:b w:val="1"/>
          <w:rtl w:val="0"/>
        </w:rPr>
        <w:t xml:space="preserve">Amphotericin B lipid-asszociált</w:t>
      </w:r>
      <w:r w:rsidDel="00000000" w:rsidR="00000000" w:rsidRPr="00000000">
        <w:rPr>
          <w:rtl w:val="0"/>
        </w:rPr>
        <w:t xml:space="preserve">/liposzóma-kötött: kevesebb mellékhatás, mint a klasszikus AMB-nél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Antimetabolitok: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flucytosin</w:t>
      </w:r>
      <w:r w:rsidDel="00000000" w:rsidR="00000000" w:rsidRPr="00000000">
        <w:rPr>
          <w:rtl w:val="0"/>
        </w:rPr>
        <w:t xml:space="preserve"> (5-fluorocitozin), DNS- és RNS szintézis zavara - szisztémás candidosis, aspergillosis, szekunder rezisztencia kialakulhat - kiszorult a használatból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Antimikotikus antibiotikumok: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griseofulvin</w:t>
      </w:r>
      <w:r w:rsidDel="00000000" w:rsidR="00000000" w:rsidRPr="00000000">
        <w:rPr>
          <w:rtl w:val="0"/>
        </w:rPr>
        <w:t xml:space="preserve"> - Penicillium griseofulvumból izolált - CSAK dermatophytonok mitosisát gátolva (mikrotubulus-rendszer gátlásával) fungisztatikus hatású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Lokális készítmények:</w:t>
      </w:r>
      <w:r w:rsidDel="00000000" w:rsidR="00000000" w:rsidRPr="00000000">
        <w:rPr>
          <w:rtl w:val="0"/>
        </w:rPr>
        <w:t xml:space="preserve"> festékek, halogénezett fenol/benzolok, kénvegyületek, jód, alkohol, aldehid,</w:t>
      </w:r>
      <w:r w:rsidDel="00000000" w:rsidR="00000000" w:rsidRPr="00000000">
        <w:rPr>
          <w:i w:val="1"/>
          <w:rtl w:val="0"/>
        </w:rPr>
        <w:t xml:space="preserve"> cyclopiroxol-amin, amorolfin</w:t>
      </w:r>
      <w:r w:rsidDel="00000000" w:rsidR="00000000" w:rsidRPr="00000000">
        <w:rPr>
          <w:rtl w:val="0"/>
        </w:rPr>
        <w:t xml:space="preserve">  - ergoszterol szintézis gátlása (Loceryl körömlakk). 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