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5. A gombás betegségek mikrobiológiai diagnosztikája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Minta: </w:t>
      </w:r>
      <w:r w:rsidDel="00000000" w:rsidR="00000000" w:rsidRPr="00000000">
        <w:rPr>
          <w:rtl w:val="0"/>
        </w:rPr>
        <w:t xml:space="preserve">fertőzés helyének megfelelően - bőr, nyálkahártyák, köpet, cervicalis kenet, vér, vizelet, csontvelő- és egyéb biopszia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Direkt mikroszkópia - gyakran azonnali diagnózis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Festés:</w:t>
      </w:r>
      <w:r w:rsidDel="00000000" w:rsidR="00000000" w:rsidRPr="00000000">
        <w:rPr>
          <w:rtl w:val="0"/>
        </w:rPr>
        <w:t xml:space="preserve"> Gram, Gömöri-Grocott, tusfestés (C. neoformans tok)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Tenyésztés: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Sabouraud-agar (SAB)</w:t>
      </w:r>
      <w:r w:rsidDel="00000000" w:rsidR="00000000" w:rsidRPr="00000000">
        <w:rPr>
          <w:rtl w:val="0"/>
        </w:rPr>
        <w:t xml:space="preserve">: 2% glükóz, pepton, pH=5,6, antibiotikumok - általánosan gombákhoz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Czapek-Dox agar:</w:t>
      </w:r>
      <w:r w:rsidDel="00000000" w:rsidR="00000000" w:rsidRPr="00000000">
        <w:rPr>
          <w:rtl w:val="0"/>
        </w:rPr>
        <w:t xml:space="preserve"> szacharóz, fémsók, pH=6,8 - penészgombákhoz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SAB + cikloheximid + chloramphenicol</w:t>
      </w:r>
      <w:r w:rsidDel="00000000" w:rsidR="00000000" w:rsidRPr="00000000">
        <w:rPr>
          <w:rtl w:val="0"/>
        </w:rPr>
        <w:t xml:space="preserve"> - dimorf gombák, dermatophytonok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chromagar:</w:t>
      </w:r>
      <w:r w:rsidDel="00000000" w:rsidR="00000000" w:rsidRPr="00000000">
        <w:rPr>
          <w:rtl w:val="0"/>
        </w:rPr>
        <w:t xml:space="preserve"> differenciáló - chromogén szubsztrátokat különböző Candida fajok különbözően bontják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infúziós agar:</w:t>
      </w:r>
      <w:r w:rsidDel="00000000" w:rsidR="00000000" w:rsidRPr="00000000">
        <w:rPr>
          <w:rtl w:val="0"/>
        </w:rPr>
        <w:t xml:space="preserve"> agy- és szívkivonat (+birkavér) - szisztémás fertőzést okozó gombák sarjadzó alakjaihoz (37°!)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i w:val="1"/>
          <w:rtl w:val="0"/>
        </w:rPr>
        <w:t xml:space="preserve">élesztőkivonat-agar:</w:t>
      </w:r>
      <w:r w:rsidDel="00000000" w:rsidR="00000000" w:rsidRPr="00000000">
        <w:rPr>
          <w:rtl w:val="0"/>
        </w:rPr>
        <w:t xml:space="preserve"> mint az infúziós agar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Szerológia </w:t>
      </w:r>
      <w:r w:rsidDel="00000000" w:rsidR="00000000" w:rsidRPr="00000000">
        <w:rPr>
          <w:rtl w:val="0"/>
        </w:rPr>
        <w:t xml:space="preserve">- ELISA, cső- és latexagglutináció, IF - 1:32 titeremelkedés esetén pozitív, savópárt nézni - de </w:t>
      </w:r>
      <w:r w:rsidDel="00000000" w:rsidR="00000000" w:rsidRPr="00000000">
        <w:rPr>
          <w:i w:val="1"/>
          <w:rtl w:val="0"/>
        </w:rPr>
        <w:t xml:space="preserve">gyakori a keresztreakció, opportunista patogéneknél értelmetlen, immunszuppresszió mellett valós fertőzés esetén is lehet negatív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Túlérzékenységi bőrpróbák: </w:t>
      </w:r>
      <w:r w:rsidDel="00000000" w:rsidR="00000000" w:rsidRPr="00000000">
        <w:rPr>
          <w:rtl w:val="0"/>
        </w:rPr>
        <w:t xml:space="preserve">0,1 ml antigénhigítás intradermalisan -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allergiás bronchopulmonalis aspergillosis: I. III. típusú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egyéb: IV. típusú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