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20. Trichomonas vaginalis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Zoomastigophora - Flagellata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5-20 μm</w:t>
      </w:r>
      <w:r w:rsidDel="00000000" w:rsidR="00000000" w:rsidRPr="00000000">
        <w:rPr>
          <w:rtl w:val="0"/>
        </w:rPr>
        <w:t xml:space="preserve"> nagyságú, magja centrális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négy szabad, és egy unduláló hártyával a “testhez” kötött ostora van (blepharoplast+parabasalis test=kinetoplast)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axostyl (tengelyfonal) a sejten kívül is folytatódik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cystát nem képez, csak vegetatív forma létezik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bináris hasadással osztódik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Szexuális úton terjed (STD) </w:t>
      </w:r>
      <w:r w:rsidDel="00000000" w:rsidR="00000000" w:rsidRPr="00000000">
        <w:rPr>
          <w:rtl w:val="0"/>
        </w:rPr>
        <w:t xml:space="preserve">+ esetenként közös fürdővízzel, törölközővel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Urogenitalis traktusban (hüvely, húgycső, prostata) telepszik meg, lehet tünetmentes (főleg férfiak - rezervoárok).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Tünetek:</w:t>
      </w:r>
      <w:r w:rsidDel="00000000" w:rsidR="00000000" w:rsidRPr="00000000">
        <w:rPr>
          <w:i w:val="1"/>
          <w:rtl w:val="0"/>
        </w:rPr>
        <w:t xml:space="preserve"> Váladék ürülése a hüvelyből, fájdalmas vizeletürítés, külső nemi szervek fájdalma, viszketése, urethritis, prostatitis.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Hüvely- húgycső- prostataváladék natív mikroszkópiája</w:t>
      </w:r>
      <w:r w:rsidDel="00000000" w:rsidR="00000000" w:rsidRPr="00000000">
        <w:rPr>
          <w:rtl w:val="0"/>
        </w:rPr>
        <w:t xml:space="preserve">, immunfluoreszcencia, PCR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Tenyésztés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metronidazol</w:t>
      </w:r>
      <w:r w:rsidDel="00000000" w:rsidR="00000000" w:rsidRPr="00000000">
        <w:rPr>
          <w:rtl w:val="0"/>
        </w:rPr>
        <w:t xml:space="preserve">, tinidazol (partner egyidejű kezelése)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Egyéb testüregi ostorosok: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Trichomonas hominis: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körte alakú, apathogén flagellata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egymagvú, axostyllel és három-öt orsóval rendelkezik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cystát nem képez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elszaporodva </w:t>
      </w:r>
      <w:r w:rsidDel="00000000" w:rsidR="00000000" w:rsidRPr="00000000">
        <w:rPr>
          <w:b w:val="1"/>
          <w:rtl w:val="0"/>
        </w:rPr>
        <w:t xml:space="preserve">enteritist, colitist okozhat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mikroszkópia, th.: metronidazol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Chilomastix mesnili: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apathogén flagellata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három ostor, axostyl nincs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cystája citrom alakú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elszaporodva enteritist, colitist okozhat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mikroszkópia, th.: metronidazol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Dientamoeba fragilis: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2-12 μm-es trophozoit,</w:t>
      </w:r>
      <w:r w:rsidDel="00000000" w:rsidR="00000000" w:rsidRPr="00000000">
        <w:rPr>
          <w:rtl w:val="0"/>
        </w:rPr>
        <w:t xml:space="preserve"> kétmagvú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cystát nem képez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vastagbél kriptáiban telepszik meg, hasadással szaporodik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általában tünetmentes, emellett </w:t>
      </w:r>
      <w:r w:rsidDel="00000000" w:rsidR="00000000" w:rsidRPr="00000000">
        <w:rPr>
          <w:i w:val="1"/>
          <w:rtl w:val="0"/>
        </w:rPr>
        <w:t xml:space="preserve">nyáktermelést fokozhat, hasi fájdalom, teltségérzet, hasmenés okozója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gyomornedv elpusztítja - vélhetően a cérnagiliszta petéivel, lárváival terjed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mikroszkópia, th.: </w:t>
      </w:r>
      <w:r w:rsidDel="00000000" w:rsidR="00000000" w:rsidRPr="00000000">
        <w:rPr>
          <w:b w:val="1"/>
          <w:rtl w:val="0"/>
        </w:rPr>
        <w:t xml:space="preserve">metronidazol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