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27. Diphyllobothrium latum és Hymenolepis nana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D. latum: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Cestoda</w:t>
      </w:r>
      <w:r w:rsidDel="00000000" w:rsidR="00000000" w:rsidRPr="00000000">
        <w:rPr>
          <w:rtl w:val="0"/>
        </w:rPr>
        <w:t xml:space="preserve">, galandféreg, diphyllobothriasis (</w:t>
      </w:r>
      <w:r w:rsidDel="00000000" w:rsidR="00000000" w:rsidRPr="00000000">
        <w:rPr>
          <w:i w:val="1"/>
          <w:rtl w:val="0"/>
        </w:rPr>
        <w:t xml:space="preserve">hal-galandférgesség</w:t>
      </w:r>
      <w:r w:rsidDel="00000000" w:rsidR="00000000" w:rsidRPr="00000000">
        <w:rPr>
          <w:rtl w:val="0"/>
        </w:rPr>
        <w:t xml:space="preserve">) okozója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Leghosszabb Platyhelminth, akár </w:t>
      </w:r>
      <w:r w:rsidDel="00000000" w:rsidR="00000000" w:rsidRPr="00000000">
        <w:rPr>
          <w:b w:val="1"/>
          <w:rtl w:val="0"/>
        </w:rPr>
        <w:t xml:space="preserve">13 méter</w:t>
      </w:r>
      <w:r w:rsidDel="00000000" w:rsidR="00000000" w:rsidRPr="00000000">
        <w:rPr>
          <w:rtl w:val="0"/>
        </w:rPr>
        <w:t xml:space="preserve"> is lehet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Két szívógödrével rögzül a bélben, scolexén nincs horog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Peték oválisak, fedelesek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Emberi fertőzés </w:t>
      </w:r>
      <w:r w:rsidDel="00000000" w:rsidR="00000000" w:rsidRPr="00000000">
        <w:rPr>
          <w:b w:val="1"/>
          <w:rtl w:val="0"/>
        </w:rPr>
        <w:t xml:space="preserve">halban lévő lárvákkal</w:t>
      </w:r>
      <w:r w:rsidDel="00000000" w:rsidR="00000000" w:rsidRPr="00000000">
        <w:rPr>
          <w:rtl w:val="0"/>
        </w:rPr>
        <w:t xml:space="preserve"> - vékonybélben fejlődik ki a féreg - proglottisokból megtermékenyített peték széklettel ürülnek - embrionált petéket az evezőlábú rákok fogyasztják el, benne fejlődik ki a </w:t>
      </w:r>
      <w:r w:rsidDel="00000000" w:rsidR="00000000" w:rsidRPr="00000000">
        <w:rPr>
          <w:b w:val="1"/>
          <w:rtl w:val="0"/>
        </w:rPr>
        <w:t xml:space="preserve">procercoid lárva</w:t>
      </w:r>
      <w:r w:rsidDel="00000000" w:rsidR="00000000" w:rsidRPr="00000000">
        <w:rPr>
          <w:rtl w:val="0"/>
        </w:rPr>
        <w:t xml:space="preserve">. A rákot fogyasztó halban fejlődik ki a </w:t>
      </w:r>
      <w:r w:rsidDel="00000000" w:rsidR="00000000" w:rsidRPr="00000000">
        <w:rPr>
          <w:b w:val="1"/>
          <w:rtl w:val="0"/>
        </w:rPr>
        <w:t xml:space="preserve">plerocercoid lárva</w:t>
      </w:r>
      <w:r w:rsidDel="00000000" w:rsidR="00000000" w:rsidRPr="00000000">
        <w:rPr>
          <w:rtl w:val="0"/>
        </w:rPr>
        <w:t xml:space="preserve">, ez a hal izomzatába kerül - ezzel fertőződik az ember (ált. egy féreg).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Előfordul tünetmentes fertőzés, </w:t>
      </w:r>
      <w:r w:rsidDel="00000000" w:rsidR="00000000" w:rsidRPr="00000000">
        <w:rPr>
          <w:b w:val="1"/>
          <w:rtl w:val="0"/>
        </w:rPr>
        <w:t xml:space="preserve">hasi fájdalom, hasmenés, B12 vitamin hiány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pete és proglottis kimutatás a székletből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niclosamid, praziquantel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H. nana: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Cestoda</w:t>
      </w:r>
      <w:r w:rsidDel="00000000" w:rsidR="00000000" w:rsidRPr="00000000">
        <w:rPr>
          <w:rtl w:val="0"/>
        </w:rPr>
        <w:t xml:space="preserve">, törpegalandféreg (hymenolepidosis)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Féreg 3-5 cm, </w:t>
      </w:r>
      <w:r w:rsidDel="00000000" w:rsidR="00000000" w:rsidRPr="00000000">
        <w:rPr>
          <w:i w:val="1"/>
          <w:rtl w:val="0"/>
        </w:rPr>
        <w:t xml:space="preserve">scolex rostellumán 20-24 horogból </w:t>
      </w:r>
      <w:r w:rsidDel="00000000" w:rsidR="00000000" w:rsidRPr="00000000">
        <w:rPr>
          <w:rtl w:val="0"/>
        </w:rPr>
        <w:t xml:space="preserve">álló koszorú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Pete 30-50 μm, két membrán határolja, kettő között horgok és poláris filamentumok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Fertőzés: direkt kontaktus, fertőzött étel - nem feltétlenül kell köztigazda - egész ciklus az emberben - peték a duodenumban kikelnek, vékonybélben </w:t>
      </w:r>
      <w:r w:rsidDel="00000000" w:rsidR="00000000" w:rsidRPr="00000000">
        <w:rPr>
          <w:b w:val="1"/>
          <w:rtl w:val="0"/>
        </w:rPr>
        <w:t xml:space="preserve">cysticercoiddá</w:t>
      </w:r>
      <w:r w:rsidDel="00000000" w:rsidR="00000000" w:rsidRPr="00000000">
        <w:rPr>
          <w:rtl w:val="0"/>
        </w:rPr>
        <w:t xml:space="preserve">, majd féreggé alakulnak. A proglottisokból a fertőzőképes peték kiszabadulnak, reinfekció lehetséges.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Másik lehetséges ciklus: pete az ízeltlábúakban cysticercoiddá alakul, ez fertőzhet embert (több száz féreg lehet az ember belében).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Előfordul tünetmentes fertőzés, </w:t>
      </w:r>
      <w:r w:rsidDel="00000000" w:rsidR="00000000" w:rsidRPr="00000000">
        <w:rPr>
          <w:b w:val="1"/>
          <w:rtl w:val="0"/>
        </w:rPr>
        <w:t xml:space="preserve">hasmenés, fájdalom, rossz közérzet.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pete kimutatása a székletből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niclosamid, praziquantel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