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7. A bőr és függelékeinek mikózisa: dermatophytosisok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Dermatophytonok:</w:t>
      </w:r>
      <w:r w:rsidDel="00000000" w:rsidR="00000000" w:rsidRPr="00000000">
        <w:rPr>
          <w:rtl w:val="0"/>
        </w:rPr>
        <w:t xml:space="preserve"> fokozott </w:t>
      </w:r>
      <w:r w:rsidDel="00000000" w:rsidR="00000000" w:rsidRPr="00000000">
        <w:rPr>
          <w:i w:val="1"/>
          <w:rtl w:val="0"/>
        </w:rPr>
        <w:t xml:space="preserve">keratinázaktivitás</w:t>
      </w:r>
      <w:r w:rsidDel="00000000" w:rsidR="00000000" w:rsidRPr="00000000">
        <w:rPr>
          <w:rtl w:val="0"/>
        </w:rPr>
        <w:t xml:space="preserve"> – benőnek a keratinba (felszíni hám+függelékek), hifák gyakran töredeznek arthroconidiumokká. Gyakran humán adaptálódott zoofilek, „bőrt megbetegítő növények”. </w:t>
      </w:r>
      <w:r w:rsidDel="00000000" w:rsidR="00000000" w:rsidRPr="00000000">
        <w:rPr>
          <w:i w:val="1"/>
          <w:rtl w:val="0"/>
        </w:rPr>
        <w:t xml:space="preserve">Obligát pathogén, obligát parazita</w:t>
      </w:r>
      <w:r w:rsidDel="00000000" w:rsidR="00000000" w:rsidRPr="00000000">
        <w:rPr>
          <w:rtl w:val="0"/>
        </w:rPr>
        <w:t xml:space="preserve"> gombák.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Kórokozók: - </w:t>
      </w:r>
      <w:r w:rsidDel="00000000" w:rsidR="00000000" w:rsidRPr="00000000">
        <w:rPr>
          <w:rtl w:val="0"/>
        </w:rPr>
        <w:t xml:space="preserve">fonalas gombák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Trichophytonok</w:t>
      </w:r>
      <w:r w:rsidDel="00000000" w:rsidR="00000000" w:rsidRPr="00000000">
        <w:rPr>
          <w:rtl w:val="0"/>
        </w:rPr>
        <w:t xml:space="preserve"> – szőrszálat megbetegítő „növények”, vékony és sima falú macroconidiumokkal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T. rubrum</w:t>
      </w:r>
      <w:r w:rsidDel="00000000" w:rsidR="00000000" w:rsidRPr="00000000">
        <w:rPr>
          <w:rtl w:val="0"/>
        </w:rPr>
        <w:t xml:space="preserve"> – antropomorf, köröm-, kéz-, láb- és piheszőrös területek fertőzései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T. interdigitale</w:t>
      </w:r>
      <w:r w:rsidDel="00000000" w:rsidR="00000000" w:rsidRPr="00000000">
        <w:rPr>
          <w:rtl w:val="0"/>
        </w:rPr>
        <w:t xml:space="preserve"> – lábujjközek fertőzése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T. mentagrophytes</w:t>
      </w:r>
      <w:r w:rsidDel="00000000" w:rsidR="00000000" w:rsidRPr="00000000">
        <w:rPr>
          <w:rtl w:val="0"/>
        </w:rPr>
        <w:t xml:space="preserve"> – zoofil, felnőtteknél piheszőrös területek, gyerekeknél piheszőrös és hajas területek fertőzései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T. tonsurans</w:t>
      </w:r>
      <w:r w:rsidDel="00000000" w:rsidR="00000000" w:rsidRPr="00000000">
        <w:rPr>
          <w:rtl w:val="0"/>
        </w:rPr>
        <w:t xml:space="preserve"> – afroamerikai érintettség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T. concentricum</w:t>
      </w:r>
      <w:r w:rsidDel="00000000" w:rsidR="00000000" w:rsidRPr="00000000">
        <w:rPr>
          <w:rtl w:val="0"/>
        </w:rPr>
        <w:t xml:space="preserve"> – ázsiai tinea imbricata okozója</w:t>
      </w:r>
    </w:p>
    <w:p w:rsidR="00000000" w:rsidDel="00000000" w:rsidP="00000000" w:rsidRDefault="00000000" w:rsidRPr="00000000">
      <w:pPr>
        <w:widowControl w:val="0"/>
        <w:ind w:lef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Microsporum</w:t>
      </w:r>
      <w:r w:rsidDel="00000000" w:rsidR="00000000" w:rsidRPr="00000000">
        <w:rPr>
          <w:rtl w:val="0"/>
        </w:rPr>
        <w:t xml:space="preserve"> nemzetség – vastag és rücskös falú macro- és microconidiumokat képez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M. canis</w:t>
      </w:r>
      <w:r w:rsidDel="00000000" w:rsidR="00000000" w:rsidRPr="00000000">
        <w:rPr>
          <w:rtl w:val="0"/>
        </w:rPr>
        <w:t xml:space="preserve"> – zoofil, gyerekeknél piheszőrös területek+hajas fejbőr fertőzései, felnőtteknél mycosis corporis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ind w:left="144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M. gypseum</w:t>
      </w:r>
    </w:p>
    <w:p w:rsidR="00000000" w:rsidDel="00000000" w:rsidP="00000000" w:rsidRDefault="00000000" w:rsidRPr="00000000">
      <w:pPr>
        <w:widowControl w:val="0"/>
        <w:ind w:lef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Epidermophyton floccosum</w:t>
      </w:r>
      <w:r w:rsidDel="00000000" w:rsidR="00000000" w:rsidRPr="00000000">
        <w:rPr>
          <w:rtl w:val="0"/>
        </w:rPr>
        <w:t xml:space="preserve"> – a nemzetség egyetlen pathogén tagja, piheszőrös területek fertőzései, hajlati mycosisok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Klinikai képek: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Mycosis capitis: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Microsporumok, Trichophytonok</w:t>
      </w:r>
      <w:r w:rsidDel="00000000" w:rsidR="00000000" w:rsidRPr="00000000">
        <w:rPr>
          <w:rtl w:val="0"/>
        </w:rPr>
        <w:t xml:space="preserve"> okozzák – hajszálak azonos magasságban (</w:t>
      </w:r>
      <w:r w:rsidDel="00000000" w:rsidR="00000000" w:rsidRPr="00000000">
        <w:rPr>
          <w:i w:val="1"/>
          <w:rtl w:val="0"/>
        </w:rPr>
        <w:t xml:space="preserve">jól kaszált mező,</w:t>
      </w:r>
      <w:r w:rsidDel="00000000" w:rsidR="00000000" w:rsidRPr="00000000">
        <w:rPr>
          <w:rtl w:val="0"/>
        </w:rPr>
        <w:t xml:space="preserve"> microsporia), különböző magasságban </w:t>
      </w:r>
      <w:r w:rsidDel="00000000" w:rsidR="00000000" w:rsidRPr="00000000">
        <w:rPr>
          <w:i w:val="1"/>
          <w:rtl w:val="0"/>
        </w:rPr>
        <w:t xml:space="preserve">(rosszul kaszált mező,</w:t>
      </w:r>
      <w:r w:rsidDel="00000000" w:rsidR="00000000" w:rsidRPr="00000000">
        <w:rPr>
          <w:rtl w:val="0"/>
        </w:rPr>
        <w:t xml:space="preserve"> trichophytia) törnek el.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Ectothrix:</w:t>
      </w:r>
      <w:r w:rsidDel="00000000" w:rsidR="00000000" w:rsidRPr="00000000">
        <w:rPr>
          <w:rtl w:val="0"/>
        </w:rPr>
        <w:t xml:space="preserve"> hajszálakat kívülről veszik körül a gombaelemek, </w:t>
      </w:r>
      <w:r w:rsidDel="00000000" w:rsidR="00000000" w:rsidRPr="00000000">
        <w:rPr>
          <w:i w:val="1"/>
          <w:rtl w:val="0"/>
        </w:rPr>
        <w:t xml:space="preserve">endothrix:</w:t>
      </w:r>
      <w:r w:rsidDel="00000000" w:rsidR="00000000" w:rsidRPr="00000000">
        <w:rPr>
          <w:rtl w:val="0"/>
        </w:rPr>
        <w:t xml:space="preserve"> belülről töltik ki a hajszálat a spórák.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Hámló bőr, komplikált esetben mélyre törő gyulladás: kerion Celsi – Celsus darázsfészke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Mycosis barbae:</w:t>
      </w:r>
      <w:r w:rsidDel="00000000" w:rsidR="00000000" w:rsidRPr="00000000">
        <w:rPr>
          <w:rtl w:val="0"/>
        </w:rPr>
        <w:t xml:space="preserve"> gennyedő szőrtüsző-gyulladás, zoofil Trichophytonok okozzák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Mycosis corporis:</w:t>
      </w:r>
      <w:r w:rsidDel="00000000" w:rsidR="00000000" w:rsidRPr="00000000">
        <w:rPr>
          <w:rtl w:val="0"/>
        </w:rPr>
        <w:t xml:space="preserve"> szőr- és hajmentes területeken – pl. </w:t>
      </w:r>
      <w:r w:rsidDel="00000000" w:rsidR="00000000" w:rsidRPr="00000000">
        <w:rPr>
          <w:i w:val="1"/>
          <w:rtl w:val="0"/>
        </w:rPr>
        <w:t xml:space="preserve">mycosis (tinea) pedis, mycosis manuum, mycosis intertriginosa</w:t>
      </w:r>
      <w:r w:rsidDel="00000000" w:rsidR="00000000" w:rsidRPr="00000000">
        <w:rPr>
          <w:rtl w:val="0"/>
        </w:rPr>
        <w:t xml:space="preserve"> (hajlatok). Zoofilek (</w:t>
      </w:r>
      <w:r w:rsidDel="00000000" w:rsidR="00000000" w:rsidRPr="00000000">
        <w:rPr>
          <w:i w:val="1"/>
          <w:rtl w:val="0"/>
        </w:rPr>
        <w:t xml:space="preserve">M. canis, T. mentagrophytes</w:t>
      </w:r>
      <w:r w:rsidDel="00000000" w:rsidR="00000000" w:rsidRPr="00000000">
        <w:rPr>
          <w:rtl w:val="0"/>
        </w:rPr>
        <w:t xml:space="preserve">) ált. a ruhából kiálló területeken, antropofilek (</w:t>
      </w:r>
      <w:r w:rsidDel="00000000" w:rsidR="00000000" w:rsidRPr="00000000">
        <w:rPr>
          <w:i w:val="1"/>
          <w:rtl w:val="0"/>
        </w:rPr>
        <w:t xml:space="preserve">T. rubrum</w:t>
      </w:r>
      <w:r w:rsidDel="00000000" w:rsidR="00000000" w:rsidRPr="00000000">
        <w:rPr>
          <w:rtl w:val="0"/>
        </w:rPr>
        <w:t xml:space="preserve">) térképszerűen terjedő, vagy egyedi gyulladt szegélyű plakkokat okoznak</w:t>
      </w:r>
    </w:p>
    <w:p w:rsidR="00000000" w:rsidDel="00000000" w:rsidP="00000000" w:rsidRDefault="00000000" w:rsidRPr="00000000">
      <w:pPr>
        <w:widowControl w:val="0"/>
        <w:ind w:left="1440" w:hanging="360"/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 </w:t>
      </w:r>
      <w:r w:rsidDel="00000000" w:rsidR="00000000" w:rsidRPr="00000000">
        <w:rPr>
          <w:i w:val="1"/>
          <w:rtl w:val="0"/>
        </w:rPr>
        <w:t xml:space="preserve">Mycosis pedis: Trichophytonok, Epidermophyton floccosum</w:t>
      </w:r>
      <w:r w:rsidDel="00000000" w:rsidR="00000000" w:rsidRPr="00000000">
        <w:rPr>
          <w:rtl w:val="0"/>
        </w:rPr>
        <w:t xml:space="preserve"> – lábujjközi erosio (</w:t>
      </w:r>
      <w:r w:rsidDel="00000000" w:rsidR="00000000" w:rsidRPr="00000000">
        <w:rPr>
          <w:b w:val="1"/>
          <w:rtl w:val="0"/>
        </w:rPr>
        <w:t xml:space="preserve">atléta-láb</w:t>
      </w:r>
      <w:r w:rsidDel="00000000" w:rsidR="00000000" w:rsidRPr="00000000">
        <w:rPr>
          <w:rtl w:val="0"/>
        </w:rPr>
        <w:t xml:space="preserve">), talpon kissé felülterjedő gyulladás (</w:t>
      </w:r>
      <w:r w:rsidDel="00000000" w:rsidR="00000000" w:rsidRPr="00000000">
        <w:rPr>
          <w:b w:val="1"/>
          <w:rtl w:val="0"/>
        </w:rPr>
        <w:t xml:space="preserve">mokasszinláb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>
      <w:pPr>
        <w:widowControl w:val="0"/>
        <w:ind w:left="1440" w:hanging="36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Onychomycosisok:</w:t>
      </w:r>
      <w:r w:rsidDel="00000000" w:rsidR="00000000" w:rsidRPr="00000000">
        <w:rPr>
          <w:rtl w:val="0"/>
        </w:rPr>
        <w:t xml:space="preserve"> körömlemez gomba által károsodik. Lábkörmön: Trichophytonok (</w:t>
      </w:r>
      <w:r w:rsidDel="00000000" w:rsidR="00000000" w:rsidRPr="00000000">
        <w:rPr>
          <w:i w:val="1"/>
          <w:rtl w:val="0"/>
        </w:rPr>
        <w:t xml:space="preserve">T. rubrum, T. mentagrophytes</w:t>
      </w:r>
      <w:r w:rsidDel="00000000" w:rsidR="00000000" w:rsidRPr="00000000">
        <w:rPr>
          <w:rtl w:val="0"/>
        </w:rPr>
        <w:t xml:space="preserve">), kézen </w:t>
      </w:r>
      <w:r w:rsidDel="00000000" w:rsidR="00000000" w:rsidRPr="00000000">
        <w:rPr>
          <w:i w:val="1"/>
          <w:rtl w:val="0"/>
        </w:rPr>
        <w:t xml:space="preserve">Candidák, Scopulariopsis brevicaulis</w:t>
      </w:r>
      <w:r w:rsidDel="00000000" w:rsidR="00000000" w:rsidRPr="00000000">
        <w:rPr>
          <w:rtl w:val="0"/>
        </w:rPr>
        <w:t xml:space="preserve">. Fajtái: distalis-lateralis, proximalis, fehér felszínes, endonix, totális disztrofiás onychomycosis.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Diagnosztika: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Bőrkaparék, szőr, haj</w:t>
      </w:r>
    </w:p>
    <w:p w:rsidR="00000000" w:rsidDel="00000000" w:rsidP="00000000" w:rsidRDefault="00000000" w:rsidRPr="00000000">
      <w:pPr>
        <w:widowControl w:val="0"/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UV fény alatti </w:t>
      </w:r>
      <w:r w:rsidDel="00000000" w:rsidR="00000000" w:rsidRPr="00000000">
        <w:rPr>
          <w:rtl w:val="0"/>
        </w:rPr>
        <w:t xml:space="preserve">vizsgálat – egyes fajok fluoreszkálnak</w:t>
      </w:r>
    </w:p>
    <w:p w:rsidR="00000000" w:rsidDel="00000000" w:rsidP="00000000" w:rsidRDefault="00000000" w:rsidRPr="00000000">
      <w:pPr>
        <w:widowControl w:val="0"/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10-30%-os </w:t>
      </w:r>
      <w:r w:rsidDel="00000000" w:rsidR="00000000" w:rsidRPr="00000000">
        <w:rPr>
          <w:b w:val="1"/>
          <w:rtl w:val="0"/>
        </w:rPr>
        <w:t xml:space="preserve">KOH-da</w:t>
      </w:r>
      <w:r w:rsidDel="00000000" w:rsidR="00000000" w:rsidRPr="00000000">
        <w:rPr>
          <w:rtl w:val="0"/>
        </w:rPr>
        <w:t xml:space="preserve">l keratinelemek feloldása, vizsgálható mikroszkóp alatt</w:t>
      </w:r>
    </w:p>
    <w:p w:rsidR="00000000" w:rsidDel="00000000" w:rsidP="00000000" w:rsidRDefault="00000000" w:rsidRPr="00000000">
      <w:pPr>
        <w:widowControl w:val="0"/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Tenyésztés szobahőn és testhőn, hosszú ideig</w:t>
      </w:r>
    </w:p>
    <w:p w:rsidR="00000000" w:rsidDel="00000000" w:rsidP="00000000" w:rsidRDefault="00000000" w:rsidRPr="00000000">
      <w:pPr>
        <w:widowControl w:val="0"/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Pityriasis versicolor esetén </w:t>
      </w:r>
      <w:r w:rsidDel="00000000" w:rsidR="00000000" w:rsidRPr="00000000">
        <w:rPr>
          <w:i w:val="1"/>
          <w:rtl w:val="0"/>
        </w:rPr>
        <w:t xml:space="preserve">Tweennel, lipidekkel</w:t>
      </w:r>
      <w:r w:rsidDel="00000000" w:rsidR="00000000" w:rsidRPr="00000000">
        <w:rPr>
          <w:rtl w:val="0"/>
        </w:rPr>
        <w:t xml:space="preserve"> kiegészített táptalaj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Terápia: 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84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20"/>
        <w:gridCol w:w="3425"/>
        <w:gridCol w:w="3170"/>
        <w:tblGridChange w:id="0">
          <w:tblGrid>
            <w:gridCol w:w="1820"/>
            <w:gridCol w:w="3425"/>
            <w:gridCol w:w="3170"/>
          </w:tblGrid>
        </w:tblGridChange>
      </w:tblGrid>
      <w:tr>
        <w:tc>
          <w:tcPr>
            <w:shd w:fill="0b5394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color w:val="fff2cc"/>
                <w:sz w:val="20"/>
                <w:shd w:fill="0b5394" w:val="clear"/>
                <w:rtl w:val="0"/>
              </w:rPr>
              <w:t xml:space="preserve">Kórkép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b5394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color w:val="fff2cc"/>
                <w:sz w:val="20"/>
                <w:shd w:fill="0b5394" w:val="clear"/>
                <w:rtl w:val="0"/>
              </w:rPr>
              <w:t xml:space="preserve">Lokális kezelés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b5394"/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color w:val="fff2cc"/>
                <w:sz w:val="20"/>
                <w:shd w:fill="0b5394" w:val="clear"/>
                <w:rtl w:val="0"/>
              </w:rPr>
              <w:t xml:space="preserve">Orális kezelés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rtl w:val="0"/>
              </w:rPr>
              <w:t xml:space="preserve">Mycosis capitis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sz w:val="20"/>
                <w:rtl w:val="0"/>
              </w:rPr>
              <w:t xml:space="preserve">antimikotikus sampon, haj levágása</w:t>
            </w:r>
          </w:p>
        </w:tc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sz w:val="20"/>
                <w:rtl w:val="0"/>
              </w:rPr>
              <w:t xml:space="preserve">terbinafin, triazol</w:t>
            </w:r>
          </w:p>
        </w:tc>
      </w:tr>
      <w:tr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rtl w:val="0"/>
              </w:rPr>
              <w:t xml:space="preserve">Mycosis corporis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sz w:val="20"/>
                <w:rtl w:val="0"/>
              </w:rPr>
              <w:t xml:space="preserve">terbinafin, azol</w:t>
            </w:r>
          </w:p>
        </w:tc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sz w:val="20"/>
                <w:rtl w:val="0"/>
              </w:rPr>
              <w:t xml:space="preserve">terbinafin, triazol</w:t>
            </w:r>
          </w:p>
        </w:tc>
      </w:tr>
      <w:tr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rtl w:val="0"/>
              </w:rPr>
              <w:t xml:space="preserve">Onychomycosis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sz w:val="20"/>
                <w:rtl w:val="0"/>
              </w:rPr>
              <w:t xml:space="preserve">körömlakk</w:t>
            </w:r>
          </w:p>
        </w:tc>
        <w:tc>
          <w:tcPr>
            <w:tcMar>
              <w:left w:w="40.0" w:type="dxa"/>
              <w:right w:w="4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  <w:rPr/>
            </w:pPr>
            <w:r w:rsidDel="00000000" w:rsidR="00000000" w:rsidRPr="00000000">
              <w:rPr>
                <w:sz w:val="20"/>
                <w:rtl w:val="0"/>
              </w:rPr>
              <w:t xml:space="preserve">terbinafin, itraconazol, fluconazol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Egyéb sarjadzógombák okozta dermatomycosisok: 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Pityriasis versicolor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i w:val="1"/>
          <w:rtl w:val="0"/>
        </w:rPr>
        <w:t xml:space="preserve">Malessezia furfur</w:t>
      </w:r>
      <w:r w:rsidDel="00000000" w:rsidR="00000000" w:rsidRPr="00000000">
        <w:rPr>
          <w:rtl w:val="0"/>
        </w:rPr>
        <w:t xml:space="preserve"> - lipofil gomba, faggyúmirigyekben gazdag arcbőrön, hajas fejbőrön fiziológiásan is jelen van. Kóros forma: “</w:t>
      </w:r>
      <w:r w:rsidDel="00000000" w:rsidR="00000000" w:rsidRPr="00000000">
        <w:rPr>
          <w:i w:val="1"/>
          <w:rtl w:val="0"/>
        </w:rPr>
        <w:t xml:space="preserve">napgombásodás</w:t>
      </w:r>
      <w:r w:rsidDel="00000000" w:rsidR="00000000" w:rsidRPr="00000000">
        <w:rPr>
          <w:rtl w:val="0"/>
        </w:rPr>
        <w:t xml:space="preserve">” - nyak, hát, mellkas, felkar területén foltokban összefolyó, viszkető területek, kezdetben </w:t>
      </w:r>
      <w:r w:rsidDel="00000000" w:rsidR="00000000" w:rsidRPr="00000000">
        <w:rPr>
          <w:b w:val="1"/>
          <w:rtl w:val="0"/>
        </w:rPr>
        <w:t xml:space="preserve">hiper- majd hipopigmentáltak, </w:t>
      </w:r>
      <w:r w:rsidDel="00000000" w:rsidR="00000000" w:rsidRPr="00000000">
        <w:rPr>
          <w:rtl w:val="0"/>
        </w:rPr>
        <w:t xml:space="preserve">lokális gyulladás nincs.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Gyanú esetén Tweennel és lipidekkel kiegészített táptalajról diagnosztizálható.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Th.: lokális szerek, samponok; recidiva esetén orális itraconazol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