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4. A gombák tenyésztése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Tenyésztés: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  <w:jc w:val="both"/>
        <w:rPr/>
      </w:pPr>
      <w:r w:rsidDel="00000000" w:rsidR="00000000" w:rsidRPr="00000000">
        <w:rPr>
          <w:b w:val="1"/>
          <w:rtl w:val="0"/>
        </w:rPr>
        <w:t xml:space="preserve">Sabouraud-agar (SAB)</w:t>
      </w:r>
      <w:r w:rsidDel="00000000" w:rsidR="00000000" w:rsidRPr="00000000">
        <w:rPr>
          <w:rtl w:val="0"/>
        </w:rPr>
        <w:t xml:space="preserve">: 2% glükóz, pepton, pH=5,6, antibiotikumok - általánosan gombákhoz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  <w:jc w:val="both"/>
        <w:rPr/>
      </w:pPr>
      <w:r w:rsidDel="00000000" w:rsidR="00000000" w:rsidRPr="00000000">
        <w:rPr>
          <w:i w:val="1"/>
          <w:rtl w:val="0"/>
        </w:rPr>
        <w:t xml:space="preserve">Czapek-Dox agar:</w:t>
      </w:r>
      <w:r w:rsidDel="00000000" w:rsidR="00000000" w:rsidRPr="00000000">
        <w:rPr>
          <w:rtl w:val="0"/>
        </w:rPr>
        <w:t xml:space="preserve"> szacharóz, fémsók, pH=6,8 - penészgombákhoz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  <w:jc w:val="both"/>
        <w:rPr/>
      </w:pPr>
      <w:r w:rsidDel="00000000" w:rsidR="00000000" w:rsidRPr="00000000">
        <w:rPr>
          <w:i w:val="1"/>
          <w:rtl w:val="0"/>
        </w:rPr>
        <w:t xml:space="preserve">SAB + cikloheximid + chloramphenicol</w:t>
      </w:r>
      <w:r w:rsidDel="00000000" w:rsidR="00000000" w:rsidRPr="00000000">
        <w:rPr>
          <w:rtl w:val="0"/>
        </w:rPr>
        <w:t xml:space="preserve"> - dimorf gombák, dermatophytonok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  <w:jc w:val="both"/>
        <w:rPr/>
      </w:pPr>
      <w:r w:rsidDel="00000000" w:rsidR="00000000" w:rsidRPr="00000000">
        <w:rPr>
          <w:b w:val="1"/>
          <w:rtl w:val="0"/>
        </w:rPr>
        <w:t xml:space="preserve">chromagar:</w:t>
      </w:r>
      <w:r w:rsidDel="00000000" w:rsidR="00000000" w:rsidRPr="00000000">
        <w:rPr>
          <w:rtl w:val="0"/>
        </w:rPr>
        <w:t xml:space="preserve"> differenciáló - chromogén szubsztrátokat különböző Candida fajok különbözően bontják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  <w:jc w:val="both"/>
        <w:rPr/>
      </w:pPr>
      <w:r w:rsidDel="00000000" w:rsidR="00000000" w:rsidRPr="00000000">
        <w:rPr>
          <w:i w:val="1"/>
          <w:rtl w:val="0"/>
        </w:rPr>
        <w:t xml:space="preserve">infúziós agar:</w:t>
      </w:r>
      <w:r w:rsidDel="00000000" w:rsidR="00000000" w:rsidRPr="00000000">
        <w:rPr>
          <w:rtl w:val="0"/>
        </w:rPr>
        <w:t xml:space="preserve"> agy- és szívkivonat (+birkavér) - szisztémás fertőzést okozó gombák sarjadzó alakjaihoz (37°!)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ind w:left="1440" w:hanging="360"/>
        <w:contextualSpacing w:val="1"/>
        <w:jc w:val="both"/>
        <w:rPr/>
      </w:pPr>
      <w:r w:rsidDel="00000000" w:rsidR="00000000" w:rsidRPr="00000000">
        <w:rPr>
          <w:i w:val="1"/>
          <w:rtl w:val="0"/>
        </w:rPr>
        <w:t xml:space="preserve">élesztőkivonat-agar:</w:t>
      </w:r>
      <w:r w:rsidDel="00000000" w:rsidR="00000000" w:rsidRPr="00000000">
        <w:rPr>
          <w:rtl w:val="0"/>
        </w:rPr>
        <w:t xml:space="preserve"> mint az infúziós agar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