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  <w:t>5. vállöv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 xml:space="preserve">szabad felső végtag 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▪</w:t>
      </w:r>
      <w:r>
        <w:rPr>
          <w:rFonts w:ascii="Times New Roman" w:cs="Times New Roman" w:hAnsi="Times New Roman"/>
          <w:b/>
          <w:sz w:val="24"/>
          <w:szCs w:val="24"/>
        </w:rPr>
        <w:t>funkciói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tárgy után nyúlás, manipuláció, fogás, támaszkodás, kapaszkodás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szem-kéz koordináció → megismerési folyamat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▪</w:t>
      </w:r>
      <w:r>
        <w:rPr>
          <w:rFonts w:ascii="Times New Roman" w:cs="Times New Roman" w:hAnsi="Times New Roman"/>
          <w:b/>
          <w:sz w:val="24"/>
          <w:szCs w:val="24"/>
        </w:rPr>
        <w:t>részei: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kéz: motoros, szenzoros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kar: kéz szabadon eljusson a tér bármely pontjába (felső végtag→nyílt kinematikus lánc)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váll-vállövi komplexum: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törzshöz 1 ízülettel: sternoclaviculáris ízület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dinamikus stabilitás→izmok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ízület + körülvevő képletek stabilizáló szerepe csekélyebb</w:t>
      </w:r>
    </w:p>
    <w:p>
      <w:pPr>
        <w:pStyle w:val="style0"/>
        <w:ind w:hanging="142" w:left="142" w:right="0"/>
      </w:pPr>
      <w:r>
        <w:rPr>
          <w:rFonts w:ascii="Times New Roman" w:cs="Times New Roman" w:hAnsi="Times New Roman"/>
          <w:sz w:val="24"/>
          <w:szCs w:val="24"/>
        </w:rPr>
        <w:t>- szabad ízület → elmozdulás 4 tengely mentén (4. a humerus hossztengelye:rotáció → 3 tengelyű szabad ízület)</w:t>
      </w:r>
    </w:p>
    <w:p>
      <w:pPr>
        <w:pStyle w:val="style0"/>
        <w:ind w:hanging="142" w:left="142" w:right="0"/>
      </w:pPr>
      <w:r>
        <w:rPr>
          <w:rFonts w:ascii="Times New Roman" w:cs="Times New Roman" w:hAnsi="Times New Roman"/>
          <w:sz w:val="24"/>
          <w:szCs w:val="24"/>
        </w:rPr>
        <w:t>- kar mozgásai a térben:</w:t>
      </w:r>
    </w:p>
    <w:p>
      <w:pPr>
        <w:pStyle w:val="style25"/>
        <w:numPr>
          <w:ilvl w:val="0"/>
          <w:numId w:val="1"/>
        </w:numPr>
      </w:pPr>
      <w:r>
        <w:rPr>
          <w:rFonts w:ascii="Times New Roman" w:cs="Times New Roman" w:hAnsi="Times New Roman"/>
          <w:i/>
          <w:sz w:val="24"/>
          <w:szCs w:val="24"/>
        </w:rPr>
        <w:t>flexió-extenzió</w:t>
      </w:r>
      <w:r>
        <w:rPr>
          <w:rFonts w:ascii="Times New Roman" w:cs="Times New Roman" w:hAnsi="Times New Roman"/>
          <w:sz w:val="24"/>
          <w:szCs w:val="24"/>
        </w:rPr>
        <w:t>: sagittális sík - transzverzális tengely (180,50)</w:t>
      </w:r>
    </w:p>
    <w:p>
      <w:pPr>
        <w:pStyle w:val="style25"/>
        <w:numPr>
          <w:ilvl w:val="0"/>
          <w:numId w:val="1"/>
        </w:numPr>
      </w:pPr>
      <w:r>
        <w:rPr>
          <w:rFonts w:ascii="Times New Roman" w:cs="Times New Roman" w:hAnsi="Times New Roman"/>
          <w:i/>
          <w:sz w:val="24"/>
          <w:szCs w:val="24"/>
        </w:rPr>
        <w:t>abdukció-addukció</w:t>
      </w:r>
      <w:r>
        <w:rPr>
          <w:rFonts w:ascii="Times New Roman" w:cs="Times New Roman" w:hAnsi="Times New Roman"/>
          <w:sz w:val="24"/>
          <w:szCs w:val="24"/>
        </w:rPr>
        <w:t>: frontális sík – a-p tengely (180,30)</w:t>
      </w:r>
    </w:p>
    <w:p>
      <w:pPr>
        <w:pStyle w:val="style0"/>
        <w:ind w:hanging="0" w:left="1080" w:right="0"/>
      </w:pPr>
      <w:r>
        <w:rPr>
          <w:rFonts w:ascii="Times New Roman" w:cs="Times New Roman" w:hAnsi="Times New Roman"/>
          <w:sz w:val="24"/>
          <w:szCs w:val="24"/>
        </w:rPr>
        <w:t>→</w:t>
      </w:r>
      <w:r>
        <w:rPr>
          <w:rFonts w:ascii="Times New Roman" w:cs="Times New Roman" w:hAnsi="Times New Roman"/>
          <w:sz w:val="24"/>
          <w:szCs w:val="24"/>
        </w:rPr>
        <w:t>flexió-abdukció: 180° →kar fül mellé, eleváció</w:t>
      </w:r>
    </w:p>
    <w:p>
      <w:pPr>
        <w:pStyle w:val="style25"/>
        <w:numPr>
          <w:ilvl w:val="0"/>
          <w:numId w:val="1"/>
        </w:numPr>
      </w:pPr>
      <w:r>
        <w:rPr>
          <w:rFonts w:ascii="Times New Roman" w:cs="Times New Roman" w:hAnsi="Times New Roman"/>
          <w:i/>
          <w:sz w:val="24"/>
          <w:szCs w:val="24"/>
        </w:rPr>
        <w:t>horizontális abdukció-addukció</w:t>
      </w:r>
      <w:r>
        <w:rPr>
          <w:rFonts w:ascii="Times New Roman" w:cs="Times New Roman" w:hAnsi="Times New Roman"/>
          <w:sz w:val="24"/>
          <w:szCs w:val="24"/>
        </w:rPr>
        <w:t>: vertikális tengely (30,140) (90° abdukcióból indul)</w:t>
      </w:r>
    </w:p>
    <w:p>
      <w:pPr>
        <w:pStyle w:val="style25"/>
        <w:numPr>
          <w:ilvl w:val="0"/>
          <w:numId w:val="1"/>
        </w:numPr>
      </w:pPr>
      <w:r>
        <w:rPr>
          <w:rFonts w:ascii="Times New Roman" w:cs="Times New Roman" w:hAnsi="Times New Roman"/>
          <w:i/>
          <w:sz w:val="24"/>
          <w:szCs w:val="24"/>
        </w:rPr>
        <w:t>rotáció</w:t>
      </w:r>
      <w:r>
        <w:rPr>
          <w:rFonts w:ascii="Times New Roman" w:cs="Times New Roman" w:hAnsi="Times New Roman"/>
          <w:sz w:val="24"/>
          <w:szCs w:val="24"/>
        </w:rPr>
        <w:t>: humerus hossztengelye bármely síkban (be:80-90 ki:70-80) (ha  a humerus hossztengelye egybeesik a vertikális tengellyel)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mozgékonyság: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mérése: 1ik végtag fül mellé→ellenoldali vállcsúcs, másik→hátul, ellenoldali lapocka aljáig, angulus inf. eléri a mellkasív szélét, de azon nem ér túl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jobb kar mozgáspályája balra a legszabadabb →kar testfelet keresztező funkciója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- 180°, cavitas síkjában a legszabadabb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vállöv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scapula+clavicula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stabilitása kell ahhoz, hogy el tujam mozdítni a karomat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scapulát izmok mozgatják →elmozdulás: art. acromioclavicularis, sternoclavicularis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fő funkció: összekapcsolás (törzs-kar)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zárt kinematikus lánc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- elmozdulások: </w:t>
      </w:r>
    </w:p>
    <w:p>
      <w:pPr>
        <w:pStyle w:val="style25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eleváció-depresszió</w:t>
      </w:r>
    </w:p>
    <w:p>
      <w:pPr>
        <w:pStyle w:val="style25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protrackió-retrakció</w:t>
      </w:r>
    </w:p>
    <w:p>
      <w:pPr>
        <w:pStyle w:val="style25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rotáció (vállízület elmozdulásával)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- vállöv saját elmozdulásainak célja:</w:t>
      </w:r>
    </w:p>
    <w:p>
      <w:pPr>
        <w:pStyle w:val="style25"/>
        <w:numPr>
          <w:ilvl w:val="0"/>
          <w:numId w:val="2"/>
        </w:numPr>
      </w:pPr>
      <w:r>
        <w:rPr>
          <w:rFonts w:ascii="Times New Roman" w:cs="Times New Roman" w:hAnsi="Times New Roman"/>
          <w:sz w:val="24"/>
          <w:szCs w:val="24"/>
        </w:rPr>
        <w:t>komplexum mozgáshatárának növelése</w:t>
      </w:r>
    </w:p>
    <w:p>
      <w:pPr>
        <w:pStyle w:val="style25"/>
        <w:numPr>
          <w:ilvl w:val="0"/>
          <w:numId w:val="2"/>
        </w:numPr>
      </w:pPr>
      <w:r>
        <w:rPr>
          <w:rFonts w:ascii="Times New Roman" w:cs="Times New Roman" w:hAnsi="Times New Roman"/>
          <w:sz w:val="24"/>
          <w:szCs w:val="24"/>
        </w:rPr>
        <w:t>optimális helyzetbe a cavitast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pageBreakBefore/>
      </w:pPr>
      <w:r>
        <w:rPr>
          <w:rFonts w:ascii="Times New Roman" w:cs="Times New Roman" w:hAnsi="Times New Roman"/>
          <w:b/>
          <w:sz w:val="24"/>
          <w:szCs w:val="24"/>
        </w:rPr>
        <w:t>scapulo-thorakális funkcionális öszeköttetés</w:t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scapula helyzete a mellkason →</w:t>
      </w:r>
      <w:r>
        <w:rPr>
          <w:rFonts w:ascii="Times New Roman" w:cs="Times New Roman" w:hAnsi="Times New Roman"/>
          <w:sz w:val="24"/>
          <w:szCs w:val="24"/>
        </w:rPr>
        <w:t>cavitas síkját meghatározza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II-VII.borda, spina scapulae: Th3, angulus inf.: Th7-8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margo medialis – gerinc 5-6cm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scapula-clavicula: 60° (horizontális szög)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scapula-vízszintes: 30° (horizontálisszög)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cavitas glenoidalis: 30°előre</w:t>
        <w:br/>
        <w:t xml:space="preserve">                                  5°fel (trapezius felső, levator scapulae szinergizmusa), </w:t>
        <w:br/>
        <w:t xml:space="preserve">                                  7°retroverzió 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struktúra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mellkas-scapula közti üreg: m. serratus anterior 2 részre bontja</w:t>
      </w:r>
    </w:p>
    <w:p>
      <w:pPr>
        <w:pStyle w:val="style25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postero-lat:scapula+m.subscapularis</w:t>
        <w:tab/>
        <w:t>antero-med: m. serratus ant.</w:t>
      </w:r>
    </w:p>
    <w:p>
      <w:pPr>
        <w:pStyle w:val="style25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postero-lat: m. serratus ant.</w:t>
        <w:tab/>
        <w:tab/>
        <w:tab/>
        <w:t>antero-med: bordák+bordaközti izmok</w:t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stabilitás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scapulát a mellkasfalhoz rögzíti: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atmoszférikus nyomás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art. acromioclavicularis, sternoclavicularis integrált stabilitás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scapulát a mellkashoz kapcsoló izmok</w:t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mobilitás</w:t>
      </w:r>
    </w:p>
    <w:tbl>
      <w:tblPr>
        <w:jc w:val="left"/>
        <w:tblInd w:type="dxa" w:w="-108"/>
        <w:tblBorders/>
      </w:tblPr>
      <w:tblGrid>
        <w:gridCol w:w="4605"/>
        <w:gridCol w:w="4605"/>
      </w:tblGrid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abdukció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addukció</w:t>
            </w:r>
          </w:p>
        </w:tc>
      </w:tr>
      <w:tr>
        <w:trPr>
          <w:cantSplit w:val="false"/>
        </w:trPr>
        <w:tc>
          <w:tcPr>
            <w:tcW w:type="dxa" w:w="92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transzlációs elmozdulás</w:t>
            </w:r>
          </w:p>
        </w:tc>
      </w:tr>
      <w:tr>
        <w:trPr>
          <w:cantSplit w:val="false"/>
        </w:trPr>
        <w:tc>
          <w:tcPr>
            <w:tcW w:type="dxa" w:w="92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margo med. távolsága a 2 végpont között: 15cm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protrakció része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scapula laterális irányba csúszik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margo med. távolodik a gerinctől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scapula közeledik a sagittális síkhoz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cavitas glenoidalis előrefelé tekint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clavicula frontális síkba kerül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scapuloclaviculáris szög záródik (60°)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retrakció része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scapula mediális irányba csúszik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margo mediális közeledik a gerinchez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scapula közeledik a frontális síkhoz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cavitas laterális helyzetű lesz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clavicula lat. vége postero-med irányba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scapuloclaviculáris szög nyílik (70°)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08"/>
        <w:tblBorders/>
      </w:tblPr>
      <w:tblGrid>
        <w:gridCol w:w="4605"/>
        <w:gridCol w:w="4605"/>
      </w:tblGrid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eleváció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depresszió</w:t>
            </w:r>
          </w:p>
        </w:tc>
      </w:tr>
      <w:tr>
        <w:trPr>
          <w:cantSplit w:val="false"/>
        </w:trPr>
        <w:tc>
          <w:tcPr>
            <w:tcW w:type="dxa" w:w="92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transzlációs elmozdulás</w:t>
            </w:r>
          </w:p>
        </w:tc>
      </w:tr>
      <w:tr>
        <w:trPr>
          <w:cantSplit w:val="false"/>
        </w:trPr>
        <w:tc>
          <w:tcPr>
            <w:tcW w:type="dxa" w:w="92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ang. inf és sup.tól mért elmozdulás távolsága a 2 végpont között: 12 cm</w:t>
            </w:r>
          </w:p>
        </w:tc>
      </w:tr>
      <w:tr>
        <w:trPr>
          <w:cantSplit w:val="false"/>
        </w:trPr>
        <w:tc>
          <w:tcPr>
            <w:tcW w:type="dxa" w:w="92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margo medialis elmozdulása nem </w:t>
            </w:r>
            <w:r>
              <w:rPr>
                <w:rFonts w:ascii="Verdana" w:cs="Times New Roman" w:hAnsi="Verdana"/>
                <w:sz w:val="24"/>
                <w:szCs w:val="24"/>
              </w:rPr>
              <w:t>ıı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-os a gerinccel →rotáció (ang.inf,acromion)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enyhe ki-fel rotációval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enyhe be-le rotációval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tbl>
      <w:tblPr>
        <w:jc w:val="left"/>
        <w:tblInd w:type="dxa" w:w="-108"/>
        <w:tblBorders/>
      </w:tblPr>
      <w:tblGrid>
        <w:gridCol w:w="4605"/>
        <w:gridCol w:w="4605"/>
      </w:tblGrid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lefele-befele rotáció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kifele-felfele rotáció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ang.inf. mediális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ang.lat+cavitas inferior tilt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ang. inf. laterális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ang. lateralis+cavitas superior tilt</w:t>
            </w:r>
          </w:p>
        </w:tc>
      </w:tr>
      <w:tr>
        <w:trPr>
          <w:cantSplit w:val="false"/>
        </w:trPr>
        <w:tc>
          <w:tcPr>
            <w:tcW w:type="dxa" w:w="92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forgáspont: spina scapulae alatt, angulus lateralistól mediálisan (→vándorol laterál felé)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teljes mozgáspálya:60°→ang. inf. kifele felfele eléri a mellkasív szélét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ang. inf. ívmozgása: 10-12 cm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ang. lat.  ívmizgása:  5-6 cm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</w:rPr>
        <w:t>- scapula a konvex mellkason csúszik:követi a mellkas ívét→élei és csúcsai nem emelkednek el</w:t>
      </w:r>
    </w:p>
    <w:p>
      <w:pPr>
        <w:pStyle w:val="style25"/>
        <w:numPr>
          <w:ilvl w:val="0"/>
          <w:numId w:val="6"/>
        </w:numPr>
      </w:pPr>
      <w:r>
        <w:rPr>
          <w:rFonts w:ascii="Times New Roman" w:cs="Times New Roman" w:hAnsi="Times New Roman"/>
          <w:sz w:val="24"/>
          <w:szCs w:val="24"/>
        </w:rPr>
        <w:t>winging: mediális  és laterális billenés (abdukció-addukció)</w:t>
      </w:r>
    </w:p>
    <w:p>
      <w:pPr>
        <w:pStyle w:val="style25"/>
        <w:numPr>
          <w:ilvl w:val="0"/>
          <w:numId w:val="6"/>
        </w:numPr>
      </w:pPr>
      <w:r>
        <w:rPr>
          <w:rFonts w:ascii="Times New Roman" w:cs="Times New Roman" w:hAnsi="Times New Roman"/>
          <w:sz w:val="24"/>
          <w:szCs w:val="24"/>
        </w:rPr>
        <w:t>tipping: superior és inferior billenés (eleváció-depresszió)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pageBreakBefore/>
      </w:pPr>
      <w:r>
        <w:rPr>
          <w:rFonts w:ascii="Times New Roman" w:cs="Times New Roman" w:hAnsi="Times New Roman"/>
          <w:b/>
          <w:sz w:val="24"/>
          <w:szCs w:val="24"/>
        </w:rPr>
        <w:t>articulatio sternoclavicularis</w:t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struktúra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i/>
          <w:sz w:val="24"/>
          <w:szCs w:val="24"/>
        </w:rPr>
        <w:t>felszínek</w:t>
      </w:r>
      <w:r>
        <w:rPr>
          <w:rFonts w:ascii="Times New Roman" w:cs="Times New Roman" w:hAnsi="Times New Roman"/>
          <w:sz w:val="24"/>
          <w:szCs w:val="24"/>
        </w:rPr>
        <w:t>: nyereg formájú (mindkettő: egyik síkban konvex, másikban konkáv)</w:t>
        <w:br/>
        <w:t xml:space="preserve">   → clavicula +manubrium sterni ízületi árka-I. bordaporc   → inkongruens</w:t>
      </w:r>
    </w:p>
    <w:p>
      <w:pPr>
        <w:pStyle w:val="style0"/>
        <w:ind w:hanging="97" w:left="142" w:right="0"/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i/>
          <w:sz w:val="24"/>
          <w:szCs w:val="24"/>
        </w:rPr>
        <w:t>discus</w:t>
      </w:r>
      <w:r>
        <w:rPr>
          <w:rFonts w:ascii="Times New Roman" w:cs="Times New Roman" w:hAnsi="Times New Roman"/>
          <w:sz w:val="24"/>
          <w:szCs w:val="24"/>
        </w:rPr>
        <w:t>→diagonális lefutás (clavicula felső része-manubrium-I. borda határa), ízületi felszínek jobb illeszkedése, elnyeli  a clavicula laterális részéről ékező erőket, megakadályozza a clavicula túlzott mediális irányú elmozdulását</w:t>
      </w:r>
    </w:p>
    <w:p>
      <w:pPr>
        <w:pStyle w:val="style0"/>
        <w:ind w:hanging="97" w:left="142" w:right="0"/>
      </w:pPr>
      <w:r>
        <w:rPr>
          <w:rFonts w:ascii="Times New Roman" w:cs="Times New Roman" w:hAnsi="Times New Roman"/>
          <w:sz w:val="24"/>
          <w:szCs w:val="24"/>
        </w:rPr>
        <w:t xml:space="preserve">- bő </w:t>
      </w:r>
      <w:r>
        <w:rPr>
          <w:rFonts w:ascii="Times New Roman" w:cs="Times New Roman" w:hAnsi="Times New Roman"/>
          <w:i/>
          <w:sz w:val="24"/>
          <w:szCs w:val="24"/>
        </w:rPr>
        <w:t>tok</w:t>
      </w:r>
      <w:r>
        <w:rPr>
          <w:rFonts w:ascii="Times New Roman" w:cs="Times New Roman" w:hAnsi="Times New Roman"/>
          <w:sz w:val="24"/>
          <w:szCs w:val="24"/>
        </w:rPr>
        <w:t xml:space="preserve"> →elülső és hátulsó szalagos köteg erősíti→claviculafej a-p elmozdulását korlátozza</w:t>
      </w:r>
    </w:p>
    <w:p>
      <w:pPr>
        <w:pStyle w:val="style0"/>
        <w:ind w:hanging="97" w:left="142" w:right="0"/>
      </w:pPr>
      <w:r>
        <w:rPr>
          <w:rFonts w:ascii="Times New Roman" w:cs="Times New Roman" w:hAnsi="Times New Roman"/>
          <w:i/>
          <w:sz w:val="24"/>
          <w:szCs w:val="24"/>
        </w:rPr>
        <w:t xml:space="preserve">  </w:t>
      </w:r>
      <w:r>
        <w:rPr>
          <w:rFonts w:ascii="Times New Roman" w:cs="Times New Roman" w:hAnsi="Times New Roman"/>
          <w:i/>
          <w:sz w:val="24"/>
          <w:szCs w:val="24"/>
        </w:rPr>
        <w:t>szalagok:</w:t>
      </w:r>
    </w:p>
    <w:p>
      <w:pPr>
        <w:pStyle w:val="style25"/>
        <w:numPr>
          <w:ilvl w:val="0"/>
          <w:numId w:val="7"/>
        </w:numPr>
      </w:pPr>
      <w:r>
        <w:rPr>
          <w:rFonts w:ascii="Times New Roman" w:cs="Times New Roman" w:hAnsi="Times New Roman"/>
          <w:sz w:val="24"/>
          <w:szCs w:val="24"/>
          <w:u w:val="single"/>
        </w:rPr>
        <w:t>lig. costoclaviculare</w:t>
      </w:r>
      <w:r>
        <w:rPr>
          <w:rFonts w:ascii="Times New Roman" w:cs="Times New Roman" w:hAnsi="Times New Roman"/>
          <w:sz w:val="24"/>
          <w:szCs w:val="24"/>
        </w:rPr>
        <w:t>: clavicula superior elcsúszását korlátozza, diagonális rostok; clavicula frontális-horizontális elmozdulásainak tengelye</w:t>
      </w:r>
    </w:p>
    <w:p>
      <w:pPr>
        <w:pStyle w:val="style25"/>
        <w:numPr>
          <w:ilvl w:val="0"/>
          <w:numId w:val="7"/>
        </w:numPr>
      </w:pPr>
      <w:r>
        <w:rPr>
          <w:rFonts w:ascii="Times New Roman" w:cs="Times New Roman" w:hAnsi="Times New Roman"/>
          <w:sz w:val="24"/>
          <w:szCs w:val="24"/>
          <w:u w:val="single"/>
        </w:rPr>
        <w:t>lig. interclaviculare</w:t>
      </w:r>
      <w:r>
        <w:rPr>
          <w:rFonts w:ascii="Times New Roman" w:cs="Times New Roman" w:hAnsi="Times New Roman"/>
          <w:sz w:val="24"/>
          <w:szCs w:val="24"/>
        </w:rPr>
        <w:t xml:space="preserve"> (2 claviculát kapcsolja össze, belefekszik az incisurába): clavicula fej inferior elcsúszását korlátozza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működést befolyásol: m. SCOM, m.sternohyoideus, m. sternothyroideus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stabilitás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kar a test mellett lóg→tok felső része, szalagok feszülése biztosítja</w:t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mobilitás</w:t>
      </w:r>
    </w:p>
    <w:tbl>
      <w:tblPr>
        <w:jc w:val="left"/>
        <w:tblInd w:type="dxa" w:w="-63"/>
        <w:tblBorders/>
      </w:tblPr>
      <w:tblGrid>
        <w:gridCol w:w="4605"/>
        <w:gridCol w:w="4605"/>
      </w:tblGrid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45" w:right="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eleváció-depresszió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protrakció-retrakció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45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45°,15°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15°,15°</w:t>
            </w:r>
          </w:p>
        </w:tc>
      </w:tr>
      <w:tr>
        <w:trPr>
          <w:cantSplit w:val="false"/>
        </w:trPr>
        <w:tc>
          <w:tcPr>
            <w:tcW w:type="dxa" w:w="921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tengely:lig.costoclaviculare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clavicula konvex-árok konkáv felszíne között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clavicula feje az ellentétes irányba csúszik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clavicula konkáv-árok konvex felszíne között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clavicula feje azonos irányba csúszik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elevációt lig.costolaviculare korlátozza</w:t>
            </w:r>
          </w:p>
        </w:tc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protrakció- lig costoclaviculare+hátsó tokszalag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retrakciót- lig. costoclaviculare+elülső tokszalag korlátozza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rotáció:</w:t>
      </w:r>
      <w:r>
        <w:rPr>
          <w:rFonts w:ascii="Times New Roman" w:cs="Times New Roman" w:hAnsi="Times New Roman"/>
          <w:sz w:val="24"/>
          <w:szCs w:val="24"/>
        </w:rPr>
        <w:t>30-45°</w:t>
        <w:br/>
        <w:t xml:space="preserve">  →spin, egy irányú,</w:t>
      </w:r>
      <w:r>
        <w:rPr>
          <w:rFonts w:ascii="Times New Roman" w:cs="Times New Roman" w:hAnsi="Times New Roman"/>
          <w:i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kar elevációjakor clavicula hossztengelye mentén hátrafelé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articulatio acromioclavicularis</w:t>
      </w:r>
    </w:p>
    <w:p>
      <w:pPr>
        <w:pStyle w:val="style25"/>
        <w:numPr>
          <w:ilvl w:val="0"/>
          <w:numId w:val="4"/>
        </w:numPr>
      </w:pPr>
      <w:r>
        <w:rPr>
          <w:rFonts w:ascii="Times New Roman" w:cs="Times New Roman" w:hAnsi="Times New Roman"/>
          <w:b/>
          <w:sz w:val="24"/>
          <w:szCs w:val="24"/>
        </w:rPr>
        <w:t>struktúra, stabilitás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i/>
          <w:sz w:val="24"/>
          <w:szCs w:val="24"/>
        </w:rPr>
        <w:t>felszínek</w:t>
      </w:r>
      <w:r>
        <w:rPr>
          <w:rFonts w:ascii="Times New Roman" w:cs="Times New Roman" w:hAnsi="Times New Roman"/>
          <w:sz w:val="24"/>
          <w:szCs w:val="24"/>
        </w:rPr>
        <w:t xml:space="preserve">: fej: clavicula lateális konvex 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 xml:space="preserve">árok: acromion konkáv 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i/>
          <w:sz w:val="24"/>
          <w:szCs w:val="24"/>
        </w:rPr>
        <w:t>tok</w:t>
      </w:r>
      <w:r>
        <w:rPr>
          <w:rFonts w:ascii="Times New Roman" w:cs="Times New Roman" w:hAnsi="Times New Roman"/>
          <w:sz w:val="24"/>
          <w:szCs w:val="24"/>
        </w:rPr>
        <w:t xml:space="preserve"> gyenge→alul-felül (kapcs. m. trapezius, deltoideussal) szalagok erősítik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>- legfontosabb feladata a stabilitás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i/>
          <w:sz w:val="24"/>
          <w:szCs w:val="24"/>
        </w:rPr>
        <w:t>szalagok stabilizálják</w:t>
      </w:r>
    </w:p>
    <w:p>
      <w:pPr>
        <w:pStyle w:val="style25"/>
        <w:numPr>
          <w:ilvl w:val="0"/>
          <w:numId w:val="8"/>
        </w:numPr>
      </w:pPr>
      <w:r>
        <w:rPr>
          <w:rFonts w:ascii="Times New Roman" w:cs="Times New Roman" w:hAnsi="Times New Roman"/>
          <w:sz w:val="24"/>
          <w:szCs w:val="24"/>
        </w:rPr>
        <w:t>lig. coracoclaviculare→conoideum (mediális)-frontális</w:t>
      </w:r>
    </w:p>
    <w:p>
      <w:pPr>
        <w:pStyle w:val="style0"/>
        <w:ind w:hanging="0" w:left="2124" w:right="0"/>
      </w:pPr>
      <w:r>
        <w:rPr>
          <w:rFonts w:ascii="Times New Roman" w:cs="Times New Roman" w:hAnsi="Times New Roman"/>
          <w:sz w:val="24"/>
          <w:szCs w:val="24"/>
        </w:rPr>
        <w:t xml:space="preserve">           →</w:t>
      </w:r>
      <w:r>
        <w:rPr>
          <w:rFonts w:ascii="Times New Roman" w:cs="Times New Roman" w:hAnsi="Times New Roman"/>
          <w:sz w:val="24"/>
          <w:szCs w:val="24"/>
        </w:rPr>
        <w:t>trapezoideum (laterális)-sagittális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ab/>
        <w:tab/>
        <w:t>- horizontális és superior stabilitás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ab/>
        <w:tab/>
        <w:t>- akadályozza a clavicula felfele diszlokálódását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ab/>
        <w:tab/>
        <w:t>- korlátozza a scapula rotációját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ab/>
        <w:tab/>
        <w:t>- rotálja a claviculát hátrafelé a sternoclaviculáris ízületben</w:t>
      </w:r>
    </w:p>
    <w:p>
      <w:pPr>
        <w:pStyle w:val="style25"/>
        <w:numPr>
          <w:ilvl w:val="0"/>
          <w:numId w:val="9"/>
        </w:numPr>
      </w:pPr>
      <w:r>
        <w:rPr>
          <w:rFonts w:ascii="Times New Roman" w:cs="Times New Roman" w:hAnsi="Times New Roman"/>
          <w:b/>
          <w:sz w:val="24"/>
          <w:szCs w:val="24"/>
        </w:rPr>
        <w:t>mobilitás</w:t>
      </w:r>
    </w:p>
    <w:p>
      <w:pPr>
        <w:pStyle w:val="style0"/>
        <w:ind w:hanging="97" w:left="142" w:right="0"/>
      </w:pPr>
      <w:r>
        <w:rPr>
          <w:rFonts w:ascii="Times New Roman" w:cs="Times New Roman" w:hAnsi="Times New Roman"/>
          <w:sz w:val="24"/>
          <w:szCs w:val="24"/>
        </w:rPr>
        <w:t>- minimális→váll-vállövi komplexum plasztikus működése miatt (winging-tipping itt okoz járulékos elmozdulást)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i/>
          <w:sz w:val="24"/>
          <w:szCs w:val="24"/>
        </w:rPr>
        <w:t xml:space="preserve">- rotáció: </w:t>
      </w:r>
      <w:r>
        <w:rPr>
          <w:rFonts w:ascii="Times New Roman" w:cs="Times New Roman" w:hAnsi="Times New Roman"/>
          <w:sz w:val="24"/>
          <w:szCs w:val="24"/>
        </w:rPr>
        <w:t>scapula rotáció→acromioclaviculáris ízület is rotálódik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tengely: a-p irányú, ízület - lig. coraoclaviculare között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ab/>
        <w:t>cavitas lefele→lefele rotáció</w:t>
      </w:r>
    </w:p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ab/>
        <w:t>cavitas felfele →felfele rotáció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pageBreakBefore/>
        <w:ind w:hanging="0" w:left="45" w:right="0"/>
      </w:pPr>
      <w:r>
        <w:rPr>
          <w:rFonts w:ascii="Times New Roman" w:cs="Times New Roman" w:hAnsi="Times New Roman"/>
          <w:b/>
          <w:sz w:val="24"/>
          <w:szCs w:val="24"/>
        </w:rPr>
        <w:t>Vállöv egészének elmozdulásai izomtani szempontból</w:t>
      </w:r>
    </w:p>
    <w:p>
      <w:pPr>
        <w:pStyle w:val="style25"/>
        <w:numPr>
          <w:ilvl w:val="0"/>
          <w:numId w:val="9"/>
        </w:numPr>
      </w:pPr>
      <w:r>
        <w:rPr>
          <w:rFonts w:ascii="Times New Roman" w:cs="Times New Roman" w:hAnsi="Times New Roman"/>
          <w:b/>
          <w:sz w:val="24"/>
          <w:szCs w:val="24"/>
        </w:rPr>
        <w:t>dorzális helyzetű izmok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m. trapezius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>felső:</w:t>
      </w:r>
      <w:r>
        <w:rPr>
          <w:rFonts w:ascii="Times New Roman" w:cs="Times New Roman" w:hAnsi="Times New Roman"/>
          <w:sz w:val="24"/>
          <w:szCs w:val="24"/>
        </w:rPr>
        <w:t xml:space="preserve"> scapula eleváció + ki-fel rotáció(csak akkor mozgatja a vállövet,ha nyak stabil)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>középső</w:t>
      </w:r>
      <w:r>
        <w:rPr>
          <w:rFonts w:ascii="Times New Roman" w:cs="Times New Roman" w:hAnsi="Times New Roman"/>
          <w:sz w:val="24"/>
          <w:szCs w:val="24"/>
        </w:rPr>
        <w:t>: scapula addukció</w:t>
      </w:r>
    </w:p>
    <w:p>
      <w:pPr>
        <w:pStyle w:val="style0"/>
        <w:ind w:hanging="0" w:left="708" w:right="0"/>
      </w:pPr>
      <w:r>
        <w:rPr>
          <w:rFonts w:ascii="Times New Roman" w:cs="Times New Roman" w:hAnsi="Times New Roman"/>
          <w:sz w:val="24"/>
          <w:szCs w:val="24"/>
          <w:u w:val="single"/>
        </w:rPr>
        <w:t>alsó</w:t>
      </w:r>
      <w:r>
        <w:rPr>
          <w:rFonts w:ascii="Times New Roman" w:cs="Times New Roman" w:hAnsi="Times New Roman"/>
          <w:sz w:val="24"/>
          <w:szCs w:val="24"/>
        </w:rPr>
        <w:t>: depresszió + ang. infet befele lefele forgatja DE: scapula felfelé rotációkor ang. inf.-et kifele felfele fordítja (ok: forgáspont laterál felé vándorol kirotációkor→ilyenkor a felső rész rotációs nyomatéka folyamatosan csökken, az alsóé pedig nő)</w:t>
      </w:r>
    </w:p>
    <w:p>
      <w:pPr>
        <w:pStyle w:val="style0"/>
        <w:ind w:hanging="0" w:left="708" w:right="0"/>
      </w:pPr>
      <w:r>
        <w:rPr>
          <w:rFonts w:ascii="Times New Roman" w:cs="Times New Roman" w:hAnsi="Times New Roman"/>
          <w:sz w:val="24"/>
          <w:szCs w:val="24"/>
        </w:rPr>
        <w:t>m.trap. felső-alsó elevációs-depressziós antagonisták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m. rhomboideus:</w:t>
      </w:r>
      <w:r>
        <w:rPr>
          <w:rFonts w:ascii="Times New Roman" w:cs="Times New Roman" w:hAnsi="Times New Roman"/>
          <w:sz w:val="24"/>
          <w:szCs w:val="24"/>
        </w:rPr>
        <w:t xml:space="preserve"> scapula addukció, eleváció, ang. inf. befele-lefele rotáció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m. levator scapulae: </w:t>
      </w:r>
      <w:r>
        <w:rPr>
          <w:rFonts w:ascii="Times New Roman" w:cs="Times New Roman" w:hAnsi="Times New Roman"/>
          <w:sz w:val="24"/>
          <w:szCs w:val="24"/>
        </w:rPr>
        <w:t>eleváció, ang.inf. befele-lefele rotáció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>m.levator scapulae-. trap.felső elevációkor egymás rotációs hatsát kioltja</w:t>
      </w:r>
    </w:p>
    <w:p>
      <w:pPr>
        <w:pStyle w:val="style25"/>
        <w:numPr>
          <w:ilvl w:val="0"/>
          <w:numId w:val="9"/>
        </w:numPr>
        <w:jc w:val="both"/>
      </w:pPr>
      <w:r>
        <w:rPr>
          <w:rFonts w:ascii="Times New Roman" w:cs="Times New Roman" w:hAnsi="Times New Roman"/>
          <w:b/>
          <w:sz w:val="24"/>
          <w:szCs w:val="24"/>
        </w:rPr>
        <w:t>ventrális helyzetű izmok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m. pectoralis minor</w:t>
      </w:r>
      <w:r>
        <w:rPr>
          <w:rFonts w:ascii="Times New Roman" w:cs="Times New Roman" w:hAnsi="Times New Roman"/>
          <w:sz w:val="24"/>
          <w:szCs w:val="24"/>
        </w:rPr>
        <w:t>: scapula depreszió, ang. inf. befelel-lefele rotáció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m. subclavius: </w:t>
      </w:r>
      <w:r>
        <w:rPr>
          <w:rFonts w:ascii="Times New Roman" w:cs="Times New Roman" w:hAnsi="Times New Roman"/>
          <w:sz w:val="24"/>
          <w:szCs w:val="24"/>
        </w:rPr>
        <w:t>depresszió</w:t>
      </w:r>
    </w:p>
    <w:p>
      <w:pPr>
        <w:pStyle w:val="style25"/>
        <w:numPr>
          <w:ilvl w:val="0"/>
          <w:numId w:val="9"/>
        </w:numPr>
        <w:jc w:val="both"/>
      </w:pPr>
      <w:r>
        <w:rPr>
          <w:rFonts w:ascii="Times New Roman" w:cs="Times New Roman" w:hAnsi="Times New Roman"/>
          <w:b/>
          <w:sz w:val="24"/>
          <w:szCs w:val="24"/>
        </w:rPr>
        <w:t>oldalsó helyzetű izom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m. serratus anterior: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- e: 1-9.borda, belégző-mellkas emelő, támaszkodáskor tágítja legjobban a mellkast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- legerőteljesebb scapula abduktor és ki-fel rotátor</w:t>
      </w:r>
    </w:p>
    <w:p>
      <w:pPr>
        <w:pStyle w:val="style0"/>
        <w:ind w:hanging="0" w:left="705" w:right="0"/>
      </w:pPr>
      <w:r>
        <w:rPr>
          <w:rFonts w:ascii="Times New Roman" w:cs="Times New Roman" w:hAnsi="Times New Roman"/>
          <w:sz w:val="24"/>
          <w:szCs w:val="24"/>
          <w:u w:val="single"/>
        </w:rPr>
        <w:t>felső</w:t>
      </w:r>
      <w:r>
        <w:rPr>
          <w:rFonts w:ascii="Times New Roman" w:cs="Times New Roman" w:hAnsi="Times New Roman"/>
          <w:sz w:val="24"/>
          <w:szCs w:val="24"/>
        </w:rPr>
        <w:t xml:space="preserve">: (1.-4.borda, rostok szélesen a margo medialison tapadnak, felülről-lefele hátrafele húzódnak) horizontális rostok→scapula abdukció, eleváció, ang.inf. ki-fel rotáció; </w:t>
        <w:br/>
        <w:t>-margo medialist stabilizálja</w:t>
      </w:r>
    </w:p>
    <w:p>
      <w:pPr>
        <w:pStyle w:val="style0"/>
        <w:ind w:hanging="0" w:left="705" w:right="0"/>
      </w:pPr>
      <w:r>
        <w:rPr>
          <w:rFonts w:ascii="Times New Roman" w:cs="Times New Roman" w:hAnsi="Times New Roman"/>
          <w:sz w:val="24"/>
          <w:szCs w:val="24"/>
          <w:u w:val="single"/>
        </w:rPr>
        <w:t>alsó</w:t>
      </w:r>
      <w:r>
        <w:rPr>
          <w:rFonts w:ascii="Times New Roman" w:cs="Times New Roman" w:hAnsi="Times New Roman"/>
          <w:sz w:val="24"/>
          <w:szCs w:val="24"/>
        </w:rPr>
        <w:t>: (1 helyen tapadnak az ang. inf. körül)előre-lefele húzódó rostok→scapula abdukció, depresszió, ki-fel rotáció;</w:t>
        <w:br/>
        <w:t>-ang. inf.-t stabilizálja</w:t>
      </w:r>
    </w:p>
    <w:p>
      <w:pPr>
        <w:pStyle w:val="style0"/>
        <w:ind w:hanging="142" w:left="142" w:right="0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-karemelés közben: m.trap.felső-m.serratus ant. felső; m.trap.alsó-m.serratus ant felső     funkcionális szinergizmusok</w:t>
      </w:r>
    </w:p>
    <w:p>
      <w:pPr>
        <w:pStyle w:val="style0"/>
        <w:ind w:hanging="0" w:left="705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 vállövet mozgató izmok scapulára fejtik ki hatásukat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-vállöv elmozdulásai facilitálhatják a törzs izmait:protrakció→flexorok; retrakcó→extensorok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63"/>
        <w:tblBorders/>
      </w:tblPr>
      <w:tblGrid>
        <w:gridCol w:w="4605"/>
        <w:gridCol w:w="4604"/>
      </w:tblGrid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eleváció</w:t>
            </w:r>
          </w:p>
        </w:tc>
        <w:tc>
          <w:tcPr>
            <w:tcW w:type="dxa" w:w="460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depresszió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rhomboideus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levator scapulae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trapezius felső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serratus anterior felső</w:t>
            </w:r>
          </w:p>
        </w:tc>
        <w:tc>
          <w:tcPr>
            <w:tcW w:type="dxa" w:w="460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m. pectoralis minor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subclavius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trapezius alsó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serratus anterior alsó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protrakció</w:t>
            </w:r>
          </w:p>
        </w:tc>
        <w:tc>
          <w:tcPr>
            <w:tcW w:type="dxa" w:w="460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retrakció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serratus anterior (egész)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pectoralis minor</w:t>
            </w:r>
          </w:p>
        </w:tc>
        <w:tc>
          <w:tcPr>
            <w:tcW w:type="dxa" w:w="460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trapezius középső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rhomboideus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befele-lefele rotáció</w:t>
            </w:r>
          </w:p>
        </w:tc>
        <w:tc>
          <w:tcPr>
            <w:tcW w:type="dxa" w:w="460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kifele-felfele rotáció</w:t>
            </w:r>
          </w:p>
        </w:tc>
      </w:tr>
      <w:tr>
        <w:trPr>
          <w:cantSplit w:val="false"/>
        </w:trPr>
        <w:tc>
          <w:tcPr>
            <w:tcW w:type="dxa" w:w="460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rhomboideus minor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m.levator scapulae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pectoralis minor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trapezius alsó</w:t>
            </w:r>
          </w:p>
        </w:tc>
        <w:tc>
          <w:tcPr>
            <w:tcW w:type="dxa" w:w="460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serratus ant.alsó-m. trapezius felső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 serratus ant. felső-m.trapezius alsó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ind w:hanging="0" w:left="45" w:right="0"/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ind w:hanging="0" w:left="45" w:right="0"/>
      </w:pPr>
      <w:r>
        <w:rPr/>
      </w:r>
    </w:p>
    <w:sectPr>
      <w:footerReference r:id="rId2" w:type="default"/>
      <w:type w:val="nextPage"/>
      <w:pgSz w:h="16838" w:w="11906"/>
      <w:pgMar w:bottom="1390" w:footer="851" w:gutter="0" w:header="0" w:left="1418" w:right="1418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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hanging="360" w:left="765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25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"/>
      <w:lvlJc w:val="left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25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"/>
      <w:lvlJc w:val="left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"/>
      <w:lvlJc w:val="left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25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"/>
      <w:lvlJc w:val="left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25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WenQuanYi Zen Hei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Placeholder Text"/>
    <w:basedOn w:val="style15"/>
    <w:next w:val="style16"/>
    <w:rPr>
      <w:color w:val="808080"/>
    </w:rPr>
  </w:style>
  <w:style w:styleId="style17" w:type="character">
    <w:name w:val="Buborékszöveg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Lohit Hindi" w:eastAsia="WenQuanYi Zen 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Footer"/>
    <w:basedOn w:val="style0"/>
    <w:next w:val="style27"/>
    <w:pPr>
      <w:suppressLineNumbers/>
      <w:tabs>
        <w:tab w:leader="none" w:pos="4535" w:val="center"/>
        <w:tab w:leader="none" w:pos="907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2013-02-16T07:55:00.00Z</dcterms:created>
  <dc:creator>Orsi</dc:creator>
  <cp:lastModifiedBy>Orsi</cp:lastModifiedBy>
  <dcterms:modified xsi:type="dcterms:W3CDTF">2013-02-24T16:34:00.00Z</dcterms:modified>
  <cp:revision>25</cp:revision>
</cp:coreProperties>
</file>